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9B319" w14:textId="77777777" w:rsidR="000E60A9" w:rsidRPr="002D4F73" w:rsidRDefault="000E60A9" w:rsidP="00384DFC">
      <w:r w:rsidRPr="002D4F73">
        <w:t>Universitäts- und Stadtbibliothek Köln</w:t>
      </w:r>
    </w:p>
    <w:p w14:paraId="4418B055" w14:textId="77777777" w:rsidR="000E60A9" w:rsidRPr="002D4F73" w:rsidRDefault="000E60A9" w:rsidP="00384DFC"/>
    <w:p w14:paraId="02317617" w14:textId="77777777" w:rsidR="000E60A9" w:rsidRPr="002D4F73" w:rsidRDefault="000E60A9" w:rsidP="00384DFC"/>
    <w:p w14:paraId="3E8BEF3A" w14:textId="77777777" w:rsidR="000E60A9" w:rsidRPr="002D4F73" w:rsidRDefault="000E60A9" w:rsidP="00384DFC"/>
    <w:p w14:paraId="1965579F" w14:textId="77777777" w:rsidR="000E60A9" w:rsidRPr="002D4F73" w:rsidRDefault="000E60A9" w:rsidP="00384DFC"/>
    <w:p w14:paraId="5FDF272E" w14:textId="77777777" w:rsidR="000E60A9" w:rsidRPr="002D4F73" w:rsidRDefault="000E60A9" w:rsidP="00384DFC"/>
    <w:p w14:paraId="0EEF074D" w14:textId="77777777" w:rsidR="000E60A9" w:rsidRPr="002D4F73" w:rsidRDefault="000E60A9" w:rsidP="00384DFC">
      <w:pPr>
        <w:rPr>
          <w:bCs/>
        </w:rPr>
      </w:pPr>
      <w:r w:rsidRPr="002D4F73">
        <w:rPr>
          <w:bCs/>
        </w:rPr>
        <w:t>Übungsarbeit</w:t>
      </w:r>
    </w:p>
    <w:p w14:paraId="02F7C48E" w14:textId="77777777" w:rsidR="000E60A9" w:rsidRPr="002D4F73" w:rsidRDefault="000E60A9" w:rsidP="00384DFC">
      <w:pPr>
        <w:rPr>
          <w:bCs/>
        </w:rPr>
      </w:pPr>
      <w:r w:rsidRPr="002D4F73">
        <w:rPr>
          <w:bCs/>
        </w:rPr>
        <w:t>Wechselkurse ausgewählter Währungen im Zeitraum von Jan.-Dez. 2022</w:t>
      </w:r>
    </w:p>
    <w:p w14:paraId="763C3C2C" w14:textId="77777777" w:rsidR="000E60A9" w:rsidRPr="002D4F73" w:rsidRDefault="000E60A9" w:rsidP="00384DFC"/>
    <w:p w14:paraId="7FDD53DA" w14:textId="77777777" w:rsidR="000E60A9" w:rsidRPr="002D4F73" w:rsidRDefault="000E60A9" w:rsidP="00384DFC"/>
    <w:p w14:paraId="68E6CA4E" w14:textId="77777777" w:rsidR="000E60A9" w:rsidRPr="002D4F73" w:rsidRDefault="000E60A9" w:rsidP="00384DFC"/>
    <w:p w14:paraId="78EBF2C4" w14:textId="77777777" w:rsidR="000E60A9" w:rsidRPr="002D4F73" w:rsidRDefault="000E60A9" w:rsidP="00384DFC"/>
    <w:p w14:paraId="5E12BA99" w14:textId="77777777" w:rsidR="00384DFC" w:rsidRDefault="00384DFC" w:rsidP="00384DFC"/>
    <w:p w14:paraId="0ECD40A4" w14:textId="075835C0" w:rsidR="000E60A9" w:rsidRPr="002D4F73" w:rsidRDefault="000E60A9" w:rsidP="00384DFC">
      <w:r w:rsidRPr="002D4F73">
        <w:t>vorgelegt im</w:t>
      </w:r>
    </w:p>
    <w:p w14:paraId="73359BBB" w14:textId="77777777" w:rsidR="000E60A9" w:rsidRPr="002D4F73" w:rsidRDefault="000E60A9" w:rsidP="00384DFC">
      <w:r w:rsidRPr="002D4F73">
        <w:t>Webinar Ready to Hausarbeit</w:t>
      </w:r>
    </w:p>
    <w:p w14:paraId="6AA45210" w14:textId="41D46686" w:rsidR="000E60A9" w:rsidRPr="002D4F73" w:rsidRDefault="000E60A9" w:rsidP="00384DFC"/>
    <w:p w14:paraId="1CA85B3A" w14:textId="77777777" w:rsidR="001A786A" w:rsidRPr="002D4F73" w:rsidRDefault="001A786A" w:rsidP="00384DFC"/>
    <w:p w14:paraId="3CED16D7" w14:textId="77777777" w:rsidR="000E60A9" w:rsidRPr="002D4F73" w:rsidRDefault="000E60A9" w:rsidP="00384DFC"/>
    <w:p w14:paraId="6E920693" w14:textId="77777777" w:rsidR="000E60A9" w:rsidRPr="002D4F73" w:rsidRDefault="000E60A9" w:rsidP="00384DFC"/>
    <w:p w14:paraId="7FD3462F" w14:textId="77777777" w:rsidR="00384DFC" w:rsidRDefault="00384DFC" w:rsidP="00384DFC"/>
    <w:p w14:paraId="79610F44" w14:textId="77777777" w:rsidR="00384DFC" w:rsidRDefault="00384DFC" w:rsidP="00384DFC"/>
    <w:p w14:paraId="08298272" w14:textId="77777777" w:rsidR="00384DFC" w:rsidRDefault="00384DFC" w:rsidP="00384DFC"/>
    <w:p w14:paraId="6CB1D174" w14:textId="77777777" w:rsidR="00384DFC" w:rsidRDefault="00384DFC" w:rsidP="00384DFC"/>
    <w:p w14:paraId="0471A1F7" w14:textId="77777777" w:rsidR="00384DFC" w:rsidRDefault="00384DFC" w:rsidP="00384DFC"/>
    <w:p w14:paraId="5DB3234E" w14:textId="77777777" w:rsidR="00384DFC" w:rsidRDefault="00384DFC" w:rsidP="00384DFC"/>
    <w:p w14:paraId="731338C0" w14:textId="04C6CF4E" w:rsidR="000E60A9" w:rsidRPr="002D4F73" w:rsidRDefault="000E60A9" w:rsidP="00384DFC">
      <w:r w:rsidRPr="002D4F73">
        <w:t>Vorgelegt von</w:t>
      </w:r>
    </w:p>
    <w:p w14:paraId="6DDD5AC2" w14:textId="65C0A042" w:rsidR="00E83064" w:rsidRPr="002D4F73" w:rsidRDefault="000E60A9" w:rsidP="00384DFC">
      <w:r w:rsidRPr="002D4F73">
        <w:t xml:space="preserve">Alma </w:t>
      </w:r>
      <w:r w:rsidR="00884355">
        <w:t>Magna</w:t>
      </w:r>
    </w:p>
    <w:p w14:paraId="04461086" w14:textId="77777777" w:rsidR="00E83064" w:rsidRPr="002D4F73" w:rsidRDefault="000E60A9" w:rsidP="00384DFC">
      <w:r w:rsidRPr="002D4F73">
        <w:t>Musterstr. 1</w:t>
      </w:r>
    </w:p>
    <w:p w14:paraId="000C7508" w14:textId="77777777" w:rsidR="00E83064" w:rsidRPr="002D4F73" w:rsidRDefault="000E60A9" w:rsidP="00384DFC">
      <w:r w:rsidRPr="002D4F73">
        <w:t xml:space="preserve"> 0</w:t>
      </w:r>
      <w:r w:rsidR="00042BEC" w:rsidRPr="002D4F73">
        <w:t>1</w:t>
      </w:r>
      <w:r w:rsidRPr="002D4F73">
        <w:t>234 5678910</w:t>
      </w:r>
    </w:p>
    <w:p w14:paraId="48C5573B" w14:textId="55B06021" w:rsidR="00E83064" w:rsidRPr="002D4F73" w:rsidRDefault="000E60A9" w:rsidP="00384DFC">
      <w:pPr>
        <w:rPr>
          <w:rStyle w:val="Hyperlink"/>
          <w:rFonts w:cs="Times New Roman"/>
          <w:sz w:val="20"/>
          <w:szCs w:val="20"/>
        </w:rPr>
      </w:pPr>
      <w:r w:rsidRPr="002D4F73">
        <w:t xml:space="preserve">E-Mail: </w:t>
      </w:r>
      <w:hyperlink r:id="rId8" w:history="1">
        <w:r w:rsidRPr="002D4F73">
          <w:rPr>
            <w:rStyle w:val="Hyperlink"/>
            <w:rFonts w:cs="Times New Roman"/>
            <w:sz w:val="20"/>
            <w:szCs w:val="20"/>
          </w:rPr>
          <w:t>alma.muster@smail.uni-koeln.de</w:t>
        </w:r>
      </w:hyperlink>
    </w:p>
    <w:p w14:paraId="437507A0" w14:textId="05F951D7" w:rsidR="000E60A9" w:rsidRPr="002D4F73" w:rsidRDefault="000E60A9" w:rsidP="00384DFC">
      <w:r w:rsidRPr="002D4F73">
        <w:t>Matrikel-Nr. 123456</w:t>
      </w:r>
    </w:p>
    <w:p w14:paraId="7BB251EC" w14:textId="22A46299" w:rsidR="00F17483" w:rsidRPr="002D4F73" w:rsidRDefault="000E60A9" w:rsidP="00384DFC">
      <w:r w:rsidRPr="002D4F73">
        <w:t xml:space="preserve">Abgabetermin: </w:t>
      </w:r>
      <w:r w:rsidR="00042BEC" w:rsidRPr="002D4F73">
        <w:fldChar w:fldCharType="begin"/>
      </w:r>
      <w:r w:rsidR="00042BEC" w:rsidRPr="002D4F73">
        <w:instrText xml:space="preserve"> TIME \@ "dd.MM.yyyy" </w:instrText>
      </w:r>
      <w:r w:rsidR="00042BEC" w:rsidRPr="002D4F73">
        <w:fldChar w:fldCharType="separate"/>
      </w:r>
      <w:r w:rsidR="003C6FF1" w:rsidRPr="002D4F73">
        <w:rPr>
          <w:noProof/>
        </w:rPr>
        <w:t>05.12.2024</w:t>
      </w:r>
      <w:r w:rsidR="00042BEC" w:rsidRPr="002D4F73">
        <w:fldChar w:fldCharType="end"/>
      </w:r>
    </w:p>
    <w:p w14:paraId="79B7DCF6" w14:textId="77777777" w:rsidR="002D4F73" w:rsidRDefault="002D4F73" w:rsidP="00384DFC">
      <w:bookmarkStart w:id="0" w:name="_Toc128130397"/>
      <w:r>
        <w:br w:type="page"/>
      </w:r>
    </w:p>
    <w:p w14:paraId="0765C745" w14:textId="45557009" w:rsidR="00042BEC" w:rsidRPr="002D4F73" w:rsidRDefault="00042BEC" w:rsidP="00384DFC">
      <w:r w:rsidRPr="002D4F73">
        <w:lastRenderedPageBreak/>
        <w:t>Inhaltsverzeichnis</w:t>
      </w:r>
    </w:p>
    <w:p w14:paraId="2CDFBD1B" w14:textId="6AE8F5AF" w:rsidR="00080B24" w:rsidRPr="002D4F73" w:rsidRDefault="00080B24" w:rsidP="00384DFC">
      <w:r w:rsidRPr="002D4F73">
        <w:t>Abbildungsverzeichnis</w:t>
      </w:r>
      <w:bookmarkEnd w:id="0"/>
    </w:p>
    <w:p w14:paraId="67380A3E" w14:textId="42237AC7" w:rsidR="00080B24" w:rsidRPr="002D4F73" w:rsidRDefault="00080B24" w:rsidP="00384DFC">
      <w:bookmarkStart w:id="1" w:name="_Toc128130398"/>
      <w:r w:rsidRPr="002D4F73">
        <w:t>Tabellenverzeichnis</w:t>
      </w:r>
      <w:bookmarkEnd w:id="1"/>
    </w:p>
    <w:p w14:paraId="46B2EF21" w14:textId="780A1404" w:rsidR="00384DFC" w:rsidRDefault="00080B24" w:rsidP="00384DFC">
      <w:bookmarkStart w:id="2" w:name="_Toc128130399"/>
      <w:r w:rsidRPr="002D4F73">
        <w:t>Formelverzeichnis</w:t>
      </w:r>
      <w:bookmarkStart w:id="3" w:name="_Toc128130401"/>
      <w:bookmarkEnd w:id="2"/>
    </w:p>
    <w:p w14:paraId="35AEE4C6" w14:textId="12257A29" w:rsidR="00384DFC" w:rsidRDefault="00384DFC" w:rsidP="00384DFC">
      <w:r>
        <w:t>Abkürzungsverzeichnis</w:t>
      </w:r>
    </w:p>
    <w:p w14:paraId="01A4E8FA" w14:textId="77777777" w:rsidR="00384DFC" w:rsidRPr="002D4F73" w:rsidRDefault="00384DFC" w:rsidP="00384DFC"/>
    <w:p w14:paraId="7C04A219" w14:textId="1FC53FEE" w:rsidR="007F33C5" w:rsidRPr="002D4F73" w:rsidRDefault="007F33C5" w:rsidP="00384DFC">
      <w:r w:rsidRPr="002D4F73">
        <w:t>Einleitung</w:t>
      </w:r>
      <w:bookmarkEnd w:id="3"/>
    </w:p>
    <w:p w14:paraId="58CB8115" w14:textId="77777777" w:rsidR="007F230A" w:rsidRPr="002D4F73" w:rsidRDefault="007F230A" w:rsidP="00384DFC">
      <w:r w:rsidRPr="002D4F73">
        <w:t>Im Jahr 2022 erlebte der Euro in Bezug auf den Schweizer Franken, den US-Dollar und den Yen einige Schwankungen im Umtauschkurs. In diesem Artikel werden wir die Entwicklung des Umtauschkurses des Euro zu diesen Währungen im Jahr 2022 betrachten.</w:t>
      </w:r>
    </w:p>
    <w:p w14:paraId="1223E0F7" w14:textId="42ED5519" w:rsidR="007F230A" w:rsidRPr="002D4F73" w:rsidRDefault="00A8662D" w:rsidP="00384DFC">
      <w:r w:rsidRPr="002D4F73">
        <w:t>„</w:t>
      </w:r>
      <w:r w:rsidR="007F230A" w:rsidRPr="002D4F73">
        <w:t>Zunächst einmal müssen wir verstehen, dass Wechselkurse von vielen Faktoren beeinflusst werden, einschließlich der wirtschaftlichen Lage eines Landes, der politischen Stabilität und der Zinssätze. Auch Ereignisse wie Naturkatastrophen, politische Unruhen oder Pandemien können erhebliche Auswirkungen auf die Wechselkurse haben.</w:t>
      </w:r>
      <w:r w:rsidRPr="002D4F73">
        <w:t>“</w:t>
      </w:r>
    </w:p>
    <w:p w14:paraId="057A3183" w14:textId="77777777" w:rsidR="00A8662D" w:rsidRPr="002D4F73" w:rsidRDefault="00A8662D" w:rsidP="00384DFC">
      <w:bookmarkStart w:id="4" w:name="_Toc128130402"/>
      <w:r w:rsidRPr="002D4F73">
        <w:t>Wechselkursformel</w:t>
      </w:r>
      <w:bookmarkEnd w:id="4"/>
    </w:p>
    <w:p w14:paraId="3BCA1088" w14:textId="77777777" w:rsidR="000860C7" w:rsidRPr="002D4F73" w:rsidRDefault="00000000" w:rsidP="00384DFC">
      <m:oMathPara>
        <m:oMathParaPr>
          <m:jc m:val="left"/>
        </m:oMathPara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rPr>
            <m:t>=</m:t>
          </m:r>
          <m:nary>
            <m:naryPr>
              <m:chr m:val="∑"/>
              <m:grow m:val="1"/>
              <m:ctrlPr>
                <w:rPr>
                  <w:rFonts w:ascii="Cambria Math" w:hAnsi="Cambria Math"/>
                </w:rPr>
              </m:ctrlPr>
            </m:naryPr>
            <m:sub>
              <m:r>
                <w:rPr>
                  <w:rFonts w:ascii="Cambria Math" w:eastAsia="Cambria Math" w:hAnsi="Cambria Math"/>
                </w:rPr>
                <m:t>k=0</m:t>
              </m:r>
            </m:sub>
            <m:sup>
              <m:r>
                <w:rPr>
                  <w:rFonts w:ascii="Cambria Math" w:eastAsia="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rPr>
                        <m:t>n</m:t>
                      </m:r>
                    </m:num>
                    <m:den>
                      <m:r>
                        <w:rPr>
                          <w:rFonts w:ascii="Cambria Math" w:eastAsia="Cambria Math" w:hAnsi="Cambria Math"/>
                        </w:rPr>
                        <m:t>k</m:t>
                      </m:r>
                    </m:den>
                  </m:f>
                </m:e>
              </m:d>
              <m:sSup>
                <m:sSupPr>
                  <m:ctrlPr>
                    <w:rPr>
                      <w:rFonts w:ascii="Cambria Math" w:hAnsi="Cambria Math"/>
                    </w:rPr>
                  </m:ctrlPr>
                </m:sSupPr>
                <m:e>
                  <m:r>
                    <w:rPr>
                      <w:rFonts w:ascii="Cambria Math" w:eastAsia="Cambria Math" w:hAnsi="Cambria Math"/>
                    </w:rPr>
                    <m:t>x</m:t>
                  </m:r>
                </m:e>
                <m:sup>
                  <m:r>
                    <w:rPr>
                      <w:rFonts w:ascii="Cambria Math" w:eastAsia="Cambria Math" w:hAnsi="Cambria Math"/>
                    </w:rPr>
                    <m:t>k</m:t>
                  </m:r>
                </m:sup>
              </m:sSup>
              <m:sSup>
                <m:sSupPr>
                  <m:ctrlPr>
                    <w:rPr>
                      <w:rFonts w:ascii="Cambria Math" w:hAnsi="Cambria Math"/>
                    </w:rPr>
                  </m:ctrlPr>
                </m:sSupPr>
                <m:e>
                  <m:r>
                    <w:rPr>
                      <w:rFonts w:ascii="Cambria Math" w:eastAsia="Cambria Math" w:hAnsi="Cambria Math"/>
                    </w:rPr>
                    <m:t>a</m:t>
                  </m:r>
                </m:e>
                <m:sup>
                  <m:r>
                    <w:rPr>
                      <w:rFonts w:ascii="Cambria Math" w:eastAsia="Cambria Math" w:hAnsi="Cambria Math"/>
                    </w:rPr>
                    <m:t>n-k</m:t>
                  </m:r>
                </m:sup>
              </m:sSup>
            </m:e>
          </m:nary>
        </m:oMath>
      </m:oMathPara>
    </w:p>
    <w:p w14:paraId="1CF952F6" w14:textId="6EC7125C" w:rsidR="00042BEC" w:rsidRPr="002D4F73" w:rsidRDefault="00042BEC" w:rsidP="00384DFC">
      <w:bookmarkStart w:id="5" w:name="_Toc128130403"/>
    </w:p>
    <w:p w14:paraId="76020ECE" w14:textId="5B3A8655" w:rsidR="002A1CDC" w:rsidRPr="002D4F73" w:rsidRDefault="002A1CDC" w:rsidP="00384DFC">
      <w:r w:rsidRPr="002D4F73">
        <w:t xml:space="preserve">Wechselkurse </w:t>
      </w:r>
      <w:bookmarkEnd w:id="5"/>
      <w:r w:rsidR="00384DFC" w:rsidRPr="002D4F73">
        <w:t>im Jahr 2022</w:t>
      </w:r>
    </w:p>
    <w:p w14:paraId="75552C44" w14:textId="77777777" w:rsidR="001A786A" w:rsidRPr="002D4F73" w:rsidRDefault="001A786A" w:rsidP="00384DFC"/>
    <w:p w14:paraId="47FEDE7C" w14:textId="77777777" w:rsidR="007F33C5" w:rsidRPr="002D4F73" w:rsidRDefault="00BB57CE" w:rsidP="00384DFC">
      <w:bookmarkStart w:id="6" w:name="_Toc128130404"/>
      <w:r w:rsidRPr="002D4F73">
        <w:t>Wechselkurs</w:t>
      </w:r>
      <w:r w:rsidR="007F33C5" w:rsidRPr="002D4F73">
        <w:t xml:space="preserve"> Euro zu Schweizer Franken</w:t>
      </w:r>
      <w:bookmarkEnd w:id="6"/>
    </w:p>
    <w:p w14:paraId="17AA1962" w14:textId="39ACF332" w:rsidR="007F230A" w:rsidRPr="002D4F73" w:rsidRDefault="007F230A" w:rsidP="00384DFC">
      <w:r w:rsidRPr="002D4F73">
        <w:t>Im Januar 2022 lag der Umtauschkurs des Euro zum Schweizer Franken bei etwa 1,08 CHF/EUR. Im Laufe des ersten Quartals des Jahres schwankte der Kurs zwischen 1,06 und 1,10 CHF/EUR, wobei der Kurs im April ein Tief von 1,06 CHF/EUR erreichte. Im Mai und Juni stieg der Kurs leicht an und lag Ende Juni bei etwa 1,09 CHF/EUR. Im Juli und August gab es weitere Schwankungen, wobei der Kurs im August wieder auf 1,06 CHF/EUR fiel. Im September stieg der Kurs jedoch wieder auf 1,09 CHF/EUR an.</w:t>
      </w:r>
    </w:p>
    <w:p w14:paraId="739C9260" w14:textId="77777777" w:rsidR="007D1B30" w:rsidRPr="002D4F73" w:rsidRDefault="007E5BEE" w:rsidP="00384DFC">
      <w:r w:rsidRPr="002D4F73">
        <w:rPr>
          <w:noProof/>
        </w:rPr>
        <w:drawing>
          <wp:inline distT="0" distB="0" distL="0" distR="0" wp14:anchorId="5546AD50" wp14:editId="1373B78C">
            <wp:extent cx="5039995" cy="3258185"/>
            <wp:effectExtent l="0" t="0" r="8255" b="18415"/>
            <wp:docPr id="2" name="Diagramm 2">
              <a:extLst xmlns:a="http://schemas.openxmlformats.org/drawingml/2006/main">
                <a:ext uri="{FF2B5EF4-FFF2-40B4-BE49-F238E27FC236}">
                  <a16:creationId xmlns:a16="http://schemas.microsoft.com/office/drawing/2014/main" id="{DE01B34E-1CAE-4BDD-8734-AC7561444D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A85B8B" w14:textId="79343AFE" w:rsidR="007F230A" w:rsidRPr="002D4F73" w:rsidRDefault="007F230A" w:rsidP="00384DFC"/>
    <w:tbl>
      <w:tblPr>
        <w:tblStyle w:val="Tabellenraster"/>
        <w:tblW w:w="5000" w:type="pct"/>
        <w:tblLook w:val="04A0" w:firstRow="1" w:lastRow="0" w:firstColumn="1" w:lastColumn="0" w:noHBand="0" w:noVBand="1"/>
      </w:tblPr>
      <w:tblGrid>
        <w:gridCol w:w="697"/>
        <w:gridCol w:w="748"/>
        <w:gridCol w:w="799"/>
        <w:gridCol w:w="765"/>
        <w:gridCol w:w="783"/>
        <w:gridCol w:w="714"/>
        <w:gridCol w:w="645"/>
        <w:gridCol w:w="817"/>
        <w:gridCol w:w="747"/>
        <w:gridCol w:w="747"/>
        <w:gridCol w:w="817"/>
        <w:gridCol w:w="783"/>
      </w:tblGrid>
      <w:tr w:rsidR="005234AC" w:rsidRPr="002D4F73" w14:paraId="4DB38601" w14:textId="77777777" w:rsidTr="008971D6">
        <w:tc>
          <w:tcPr>
            <w:tcW w:w="384" w:type="pct"/>
          </w:tcPr>
          <w:p w14:paraId="4DCCC846" w14:textId="77777777" w:rsidR="007E5BEE" w:rsidRPr="002D4F73" w:rsidRDefault="007E5BEE" w:rsidP="00384DFC">
            <w:bookmarkStart w:id="7" w:name="_Hlk127991854"/>
            <w:r w:rsidRPr="002D4F73">
              <w:t>Jan</w:t>
            </w:r>
          </w:p>
        </w:tc>
        <w:tc>
          <w:tcPr>
            <w:tcW w:w="412" w:type="pct"/>
          </w:tcPr>
          <w:p w14:paraId="442C0B08" w14:textId="77777777" w:rsidR="007E5BEE" w:rsidRPr="002D4F73" w:rsidRDefault="007E5BEE" w:rsidP="00384DFC">
            <w:r w:rsidRPr="002D4F73">
              <w:t>Feb</w:t>
            </w:r>
          </w:p>
        </w:tc>
        <w:tc>
          <w:tcPr>
            <w:tcW w:w="441" w:type="pct"/>
          </w:tcPr>
          <w:p w14:paraId="68B0176F" w14:textId="77777777" w:rsidR="007E5BEE" w:rsidRPr="002D4F73" w:rsidRDefault="007E5BEE" w:rsidP="00384DFC">
            <w:r w:rsidRPr="002D4F73">
              <w:t>Mrz</w:t>
            </w:r>
          </w:p>
        </w:tc>
        <w:tc>
          <w:tcPr>
            <w:tcW w:w="422" w:type="pct"/>
          </w:tcPr>
          <w:p w14:paraId="467FDBE2" w14:textId="77777777" w:rsidR="007E5BEE" w:rsidRPr="002D4F73" w:rsidRDefault="007E5BEE" w:rsidP="00384DFC">
            <w:r w:rsidRPr="002D4F73">
              <w:t>Apr</w:t>
            </w:r>
          </w:p>
        </w:tc>
        <w:tc>
          <w:tcPr>
            <w:tcW w:w="432" w:type="pct"/>
          </w:tcPr>
          <w:p w14:paraId="32234FC9" w14:textId="77777777" w:rsidR="007E5BEE" w:rsidRPr="002D4F73" w:rsidRDefault="007E5BEE" w:rsidP="00384DFC">
            <w:r w:rsidRPr="002D4F73">
              <w:t>Mai</w:t>
            </w:r>
          </w:p>
        </w:tc>
        <w:tc>
          <w:tcPr>
            <w:tcW w:w="394" w:type="pct"/>
          </w:tcPr>
          <w:p w14:paraId="0FB88DF7" w14:textId="77777777" w:rsidR="007E5BEE" w:rsidRPr="002D4F73" w:rsidRDefault="007E5BEE" w:rsidP="00384DFC">
            <w:r w:rsidRPr="002D4F73">
              <w:t>Jun</w:t>
            </w:r>
          </w:p>
        </w:tc>
        <w:tc>
          <w:tcPr>
            <w:tcW w:w="356" w:type="pct"/>
          </w:tcPr>
          <w:p w14:paraId="362AFC32" w14:textId="77777777" w:rsidR="007E5BEE" w:rsidRPr="002D4F73" w:rsidRDefault="007E5BEE" w:rsidP="00384DFC">
            <w:r w:rsidRPr="002D4F73">
              <w:t>Jul</w:t>
            </w:r>
          </w:p>
        </w:tc>
        <w:tc>
          <w:tcPr>
            <w:tcW w:w="451" w:type="pct"/>
          </w:tcPr>
          <w:p w14:paraId="2A19DE3C" w14:textId="77777777" w:rsidR="007E5BEE" w:rsidRPr="002D4F73" w:rsidRDefault="007E5BEE" w:rsidP="00384DFC">
            <w:r w:rsidRPr="002D4F73">
              <w:t>Aug</w:t>
            </w:r>
          </w:p>
        </w:tc>
        <w:tc>
          <w:tcPr>
            <w:tcW w:w="412" w:type="pct"/>
          </w:tcPr>
          <w:p w14:paraId="3D6F75FE" w14:textId="77777777" w:rsidR="007E5BEE" w:rsidRPr="002D4F73" w:rsidRDefault="007E5BEE" w:rsidP="00384DFC">
            <w:r w:rsidRPr="002D4F73">
              <w:t>Sep</w:t>
            </w:r>
          </w:p>
        </w:tc>
        <w:tc>
          <w:tcPr>
            <w:tcW w:w="412" w:type="pct"/>
          </w:tcPr>
          <w:p w14:paraId="780E7513" w14:textId="77777777" w:rsidR="007E5BEE" w:rsidRPr="002D4F73" w:rsidRDefault="007E5BEE" w:rsidP="00384DFC">
            <w:r w:rsidRPr="002D4F73">
              <w:t>Okt</w:t>
            </w:r>
          </w:p>
        </w:tc>
        <w:tc>
          <w:tcPr>
            <w:tcW w:w="451" w:type="pct"/>
          </w:tcPr>
          <w:p w14:paraId="5DAE5801" w14:textId="77777777" w:rsidR="007E5BEE" w:rsidRPr="002D4F73" w:rsidRDefault="007E5BEE" w:rsidP="00384DFC">
            <w:r w:rsidRPr="002D4F73">
              <w:t>Nov</w:t>
            </w:r>
          </w:p>
        </w:tc>
        <w:tc>
          <w:tcPr>
            <w:tcW w:w="432" w:type="pct"/>
          </w:tcPr>
          <w:p w14:paraId="0473132E" w14:textId="77777777" w:rsidR="007E5BEE" w:rsidRPr="002D4F73" w:rsidRDefault="007E5BEE" w:rsidP="00384DFC">
            <w:r w:rsidRPr="002D4F73">
              <w:t>Dez</w:t>
            </w:r>
          </w:p>
        </w:tc>
      </w:tr>
      <w:tr w:rsidR="005234AC" w:rsidRPr="002D4F73" w14:paraId="1BBEBC81" w14:textId="77777777" w:rsidTr="008971D6">
        <w:tc>
          <w:tcPr>
            <w:tcW w:w="384" w:type="pct"/>
          </w:tcPr>
          <w:p w14:paraId="7B28BA56" w14:textId="77777777" w:rsidR="007E5BEE" w:rsidRPr="002D4F73" w:rsidRDefault="008971D6" w:rsidP="00384DFC">
            <w:r w:rsidRPr="002D4F73">
              <w:t>1,04</w:t>
            </w:r>
          </w:p>
        </w:tc>
        <w:tc>
          <w:tcPr>
            <w:tcW w:w="412" w:type="pct"/>
          </w:tcPr>
          <w:p w14:paraId="64817D9C" w14:textId="77777777" w:rsidR="007E5BEE" w:rsidRPr="002D4F73" w:rsidRDefault="008971D6" w:rsidP="00384DFC">
            <w:r w:rsidRPr="002D4F73">
              <w:t>1,05</w:t>
            </w:r>
          </w:p>
        </w:tc>
        <w:tc>
          <w:tcPr>
            <w:tcW w:w="441" w:type="pct"/>
          </w:tcPr>
          <w:p w14:paraId="56BCB9FD" w14:textId="77777777" w:rsidR="007E5BEE" w:rsidRPr="002D4F73" w:rsidRDefault="008971D6" w:rsidP="00384DFC">
            <w:r w:rsidRPr="002D4F73">
              <w:t>1,02</w:t>
            </w:r>
          </w:p>
        </w:tc>
        <w:tc>
          <w:tcPr>
            <w:tcW w:w="422" w:type="pct"/>
          </w:tcPr>
          <w:p w14:paraId="21380377" w14:textId="77777777" w:rsidR="007E5BEE" w:rsidRPr="002D4F73" w:rsidRDefault="008971D6" w:rsidP="00384DFC">
            <w:r w:rsidRPr="002D4F73">
              <w:t>1,02</w:t>
            </w:r>
          </w:p>
        </w:tc>
        <w:tc>
          <w:tcPr>
            <w:tcW w:w="432" w:type="pct"/>
          </w:tcPr>
          <w:p w14:paraId="7CE9BCED" w14:textId="77777777" w:rsidR="007E5BEE" w:rsidRPr="002D4F73" w:rsidRDefault="008971D6" w:rsidP="00384DFC">
            <w:r w:rsidRPr="002D4F73">
              <w:t>1,04</w:t>
            </w:r>
          </w:p>
        </w:tc>
        <w:tc>
          <w:tcPr>
            <w:tcW w:w="394" w:type="pct"/>
          </w:tcPr>
          <w:p w14:paraId="2E01C1FD" w14:textId="77777777" w:rsidR="007E5BEE" w:rsidRPr="002D4F73" w:rsidRDefault="008971D6" w:rsidP="00384DFC">
            <w:r w:rsidRPr="002D4F73">
              <w:t>1,02</w:t>
            </w:r>
          </w:p>
        </w:tc>
        <w:tc>
          <w:tcPr>
            <w:tcW w:w="356" w:type="pct"/>
          </w:tcPr>
          <w:p w14:paraId="147BE459" w14:textId="77777777" w:rsidR="007E5BEE" w:rsidRPr="002D4F73" w:rsidRDefault="008971D6" w:rsidP="00384DFC">
            <w:r w:rsidRPr="002D4F73">
              <w:t>0,99</w:t>
            </w:r>
          </w:p>
        </w:tc>
        <w:tc>
          <w:tcPr>
            <w:tcW w:w="451" w:type="pct"/>
          </w:tcPr>
          <w:p w14:paraId="6FF3F136" w14:textId="77777777" w:rsidR="007E5BEE" w:rsidRPr="002D4F73" w:rsidRDefault="008971D6" w:rsidP="00384DFC">
            <w:r w:rsidRPr="002D4F73">
              <w:t>0,97</w:t>
            </w:r>
          </w:p>
        </w:tc>
        <w:tc>
          <w:tcPr>
            <w:tcW w:w="412" w:type="pct"/>
          </w:tcPr>
          <w:p w14:paraId="7C799E5F" w14:textId="77777777" w:rsidR="007E5BEE" w:rsidRPr="002D4F73" w:rsidRDefault="008971D6" w:rsidP="00384DFC">
            <w:r w:rsidRPr="002D4F73">
              <w:t>0,96</w:t>
            </w:r>
          </w:p>
        </w:tc>
        <w:tc>
          <w:tcPr>
            <w:tcW w:w="412" w:type="pct"/>
          </w:tcPr>
          <w:p w14:paraId="60BDA928" w14:textId="77777777" w:rsidR="007E5BEE" w:rsidRPr="002D4F73" w:rsidRDefault="008971D6" w:rsidP="00384DFC">
            <w:r w:rsidRPr="002D4F73">
              <w:t>0,98</w:t>
            </w:r>
          </w:p>
        </w:tc>
        <w:tc>
          <w:tcPr>
            <w:tcW w:w="451" w:type="pct"/>
          </w:tcPr>
          <w:p w14:paraId="670F4D1A" w14:textId="77777777" w:rsidR="007E5BEE" w:rsidRPr="002D4F73" w:rsidRDefault="008971D6" w:rsidP="00384DFC">
            <w:r w:rsidRPr="002D4F73">
              <w:t>0,98</w:t>
            </w:r>
          </w:p>
        </w:tc>
        <w:tc>
          <w:tcPr>
            <w:tcW w:w="432" w:type="pct"/>
          </w:tcPr>
          <w:p w14:paraId="510DDC06" w14:textId="77777777" w:rsidR="007E5BEE" w:rsidRPr="002D4F73" w:rsidRDefault="008971D6" w:rsidP="00384DFC">
            <w:r w:rsidRPr="002D4F73">
              <w:t>0,99</w:t>
            </w:r>
          </w:p>
        </w:tc>
      </w:tr>
      <w:bookmarkEnd w:id="7"/>
    </w:tbl>
    <w:p w14:paraId="7F527108" w14:textId="24E82731" w:rsidR="007E5BEE" w:rsidRPr="002D4F73" w:rsidRDefault="007E5BEE" w:rsidP="00384DFC"/>
    <w:p w14:paraId="18C74DC0" w14:textId="00C20C38" w:rsidR="007F33C5" w:rsidRPr="002D4F73" w:rsidRDefault="00BB57CE" w:rsidP="00384DFC">
      <w:bookmarkStart w:id="8" w:name="_Toc128130405"/>
      <w:r w:rsidRPr="002D4F73">
        <w:lastRenderedPageBreak/>
        <w:t>Wechsel</w:t>
      </w:r>
      <w:r w:rsidR="007F33C5" w:rsidRPr="002D4F73">
        <w:t>kurs Euro zum US-Dollar</w:t>
      </w:r>
      <w:bookmarkEnd w:id="8"/>
    </w:p>
    <w:p w14:paraId="30FE6C62" w14:textId="56F23EDA" w:rsidR="007F230A" w:rsidRPr="002D4F73" w:rsidRDefault="007F230A" w:rsidP="00384DFC">
      <w:r w:rsidRPr="002D4F73">
        <w:t>Im Vergleich dazu lag der Umtauschkurs des Euro zum US-Dollar im Januar 2022 bei etwa 1,22 USD/EUR. Im Februar und März blieb der Kurs relativ stabil, bevor er im April auf 1,20 USD/EUR fiel. Im Mai und Juni stieg der Kurs wieder an und erreichte im Juni ein Hoch von 1,23 USD/EUR. Im Juli und August gab es erneut Schwankungen, wobei der Kurs im August auf 1,17 USD/EUR fiel. Im September erholte sich der Kurs jedoch wieder und lag Ende des Monats bei etwa 1,22 USD/EUR.</w:t>
      </w:r>
    </w:p>
    <w:p w14:paraId="2B90B6D5" w14:textId="77777777" w:rsidR="007D1B30" w:rsidRPr="002D4F73" w:rsidRDefault="008971D6" w:rsidP="00384DFC">
      <w:r w:rsidRPr="002D4F73">
        <w:rPr>
          <w:noProof/>
        </w:rPr>
        <w:drawing>
          <wp:inline distT="0" distB="0" distL="0" distR="0" wp14:anchorId="59553566" wp14:editId="34EE6518">
            <wp:extent cx="5039995" cy="3258185"/>
            <wp:effectExtent l="0" t="0" r="8255" b="18415"/>
            <wp:docPr id="3" name="Diagramm 3">
              <a:extLst xmlns:a="http://schemas.openxmlformats.org/drawingml/2006/main">
                <a:ext uri="{FF2B5EF4-FFF2-40B4-BE49-F238E27FC236}">
                  <a16:creationId xmlns:a16="http://schemas.microsoft.com/office/drawing/2014/main" id="{280015E2-80BD-4AC7-8EE2-59EA7FE389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C2CAF0" w14:textId="63C82B51" w:rsidR="00CB71A2" w:rsidRPr="002D4F73" w:rsidRDefault="00CB71A2" w:rsidP="00384DFC"/>
    <w:tbl>
      <w:tblPr>
        <w:tblStyle w:val="Tabellenraster"/>
        <w:tblW w:w="5000" w:type="pct"/>
        <w:tblLook w:val="04A0" w:firstRow="1" w:lastRow="0" w:firstColumn="1" w:lastColumn="0" w:noHBand="0" w:noVBand="1"/>
      </w:tblPr>
      <w:tblGrid>
        <w:gridCol w:w="697"/>
        <w:gridCol w:w="748"/>
        <w:gridCol w:w="799"/>
        <w:gridCol w:w="765"/>
        <w:gridCol w:w="783"/>
        <w:gridCol w:w="714"/>
        <w:gridCol w:w="645"/>
        <w:gridCol w:w="817"/>
        <w:gridCol w:w="747"/>
        <w:gridCol w:w="747"/>
        <w:gridCol w:w="817"/>
        <w:gridCol w:w="783"/>
      </w:tblGrid>
      <w:tr w:rsidR="008971D6" w:rsidRPr="002D4F73" w14:paraId="09241589" w14:textId="77777777" w:rsidTr="008971D6">
        <w:tc>
          <w:tcPr>
            <w:tcW w:w="384" w:type="pct"/>
          </w:tcPr>
          <w:p w14:paraId="70F056EA" w14:textId="77777777" w:rsidR="007E5BEE" w:rsidRPr="002D4F73" w:rsidRDefault="007E5BEE" w:rsidP="00384DFC">
            <w:r w:rsidRPr="002D4F73">
              <w:t>Jan</w:t>
            </w:r>
          </w:p>
        </w:tc>
        <w:tc>
          <w:tcPr>
            <w:tcW w:w="412" w:type="pct"/>
          </w:tcPr>
          <w:p w14:paraId="4F434744" w14:textId="77777777" w:rsidR="007E5BEE" w:rsidRPr="002D4F73" w:rsidRDefault="007E5BEE" w:rsidP="00384DFC">
            <w:r w:rsidRPr="002D4F73">
              <w:t>Feb</w:t>
            </w:r>
          </w:p>
        </w:tc>
        <w:tc>
          <w:tcPr>
            <w:tcW w:w="441" w:type="pct"/>
          </w:tcPr>
          <w:p w14:paraId="6311EA12" w14:textId="77777777" w:rsidR="007E5BEE" w:rsidRPr="002D4F73" w:rsidRDefault="007E5BEE" w:rsidP="00384DFC">
            <w:r w:rsidRPr="002D4F73">
              <w:t>Mrz</w:t>
            </w:r>
          </w:p>
        </w:tc>
        <w:tc>
          <w:tcPr>
            <w:tcW w:w="422" w:type="pct"/>
          </w:tcPr>
          <w:p w14:paraId="414DA3BC" w14:textId="77777777" w:rsidR="007E5BEE" w:rsidRPr="002D4F73" w:rsidRDefault="007E5BEE" w:rsidP="00384DFC">
            <w:r w:rsidRPr="002D4F73">
              <w:t>Apr</w:t>
            </w:r>
          </w:p>
        </w:tc>
        <w:tc>
          <w:tcPr>
            <w:tcW w:w="432" w:type="pct"/>
          </w:tcPr>
          <w:p w14:paraId="5A8F2C0D" w14:textId="77777777" w:rsidR="007E5BEE" w:rsidRPr="002D4F73" w:rsidRDefault="007E5BEE" w:rsidP="00384DFC">
            <w:r w:rsidRPr="002D4F73">
              <w:t>Mai</w:t>
            </w:r>
          </w:p>
        </w:tc>
        <w:tc>
          <w:tcPr>
            <w:tcW w:w="394" w:type="pct"/>
          </w:tcPr>
          <w:p w14:paraId="4199D6E0" w14:textId="77777777" w:rsidR="007E5BEE" w:rsidRPr="002D4F73" w:rsidRDefault="007E5BEE" w:rsidP="00384DFC">
            <w:r w:rsidRPr="002D4F73">
              <w:t>Jun</w:t>
            </w:r>
          </w:p>
        </w:tc>
        <w:tc>
          <w:tcPr>
            <w:tcW w:w="356" w:type="pct"/>
          </w:tcPr>
          <w:p w14:paraId="45D51548" w14:textId="77777777" w:rsidR="007E5BEE" w:rsidRPr="002D4F73" w:rsidRDefault="007E5BEE" w:rsidP="00384DFC">
            <w:r w:rsidRPr="002D4F73">
              <w:t>Jul</w:t>
            </w:r>
          </w:p>
        </w:tc>
        <w:tc>
          <w:tcPr>
            <w:tcW w:w="451" w:type="pct"/>
          </w:tcPr>
          <w:p w14:paraId="1A9E570E" w14:textId="77777777" w:rsidR="007E5BEE" w:rsidRPr="002D4F73" w:rsidRDefault="007E5BEE" w:rsidP="00384DFC">
            <w:r w:rsidRPr="002D4F73">
              <w:t>Aug</w:t>
            </w:r>
          </w:p>
        </w:tc>
        <w:tc>
          <w:tcPr>
            <w:tcW w:w="412" w:type="pct"/>
          </w:tcPr>
          <w:p w14:paraId="477E7D24" w14:textId="77777777" w:rsidR="007E5BEE" w:rsidRPr="002D4F73" w:rsidRDefault="007E5BEE" w:rsidP="00384DFC">
            <w:r w:rsidRPr="002D4F73">
              <w:t>Sep</w:t>
            </w:r>
          </w:p>
        </w:tc>
        <w:tc>
          <w:tcPr>
            <w:tcW w:w="412" w:type="pct"/>
          </w:tcPr>
          <w:p w14:paraId="5A93ABBD" w14:textId="77777777" w:rsidR="007E5BEE" w:rsidRPr="002D4F73" w:rsidRDefault="007E5BEE" w:rsidP="00384DFC">
            <w:r w:rsidRPr="002D4F73">
              <w:t>Okt</w:t>
            </w:r>
          </w:p>
        </w:tc>
        <w:tc>
          <w:tcPr>
            <w:tcW w:w="451" w:type="pct"/>
          </w:tcPr>
          <w:p w14:paraId="6E304D72" w14:textId="77777777" w:rsidR="007E5BEE" w:rsidRPr="002D4F73" w:rsidRDefault="007E5BEE" w:rsidP="00384DFC">
            <w:r w:rsidRPr="002D4F73">
              <w:t>Nov</w:t>
            </w:r>
          </w:p>
        </w:tc>
        <w:tc>
          <w:tcPr>
            <w:tcW w:w="432" w:type="pct"/>
          </w:tcPr>
          <w:p w14:paraId="4E17FBCF" w14:textId="77777777" w:rsidR="007E5BEE" w:rsidRPr="002D4F73" w:rsidRDefault="007E5BEE" w:rsidP="00384DFC">
            <w:r w:rsidRPr="002D4F73">
              <w:t>Dez</w:t>
            </w:r>
          </w:p>
        </w:tc>
      </w:tr>
      <w:tr w:rsidR="008971D6" w:rsidRPr="002D4F73" w14:paraId="40708BEE" w14:textId="77777777" w:rsidTr="008971D6">
        <w:tc>
          <w:tcPr>
            <w:tcW w:w="384" w:type="pct"/>
          </w:tcPr>
          <w:p w14:paraId="485ADA5F" w14:textId="77777777" w:rsidR="007E5BEE" w:rsidRPr="002D4F73" w:rsidRDefault="008971D6" w:rsidP="00384DFC">
            <w:r w:rsidRPr="002D4F73">
              <w:t>0,89</w:t>
            </w:r>
          </w:p>
        </w:tc>
        <w:tc>
          <w:tcPr>
            <w:tcW w:w="412" w:type="pct"/>
          </w:tcPr>
          <w:p w14:paraId="607851CA" w14:textId="77777777" w:rsidR="007E5BEE" w:rsidRPr="002D4F73" w:rsidRDefault="008971D6" w:rsidP="00384DFC">
            <w:r w:rsidRPr="002D4F73">
              <w:t>0,89</w:t>
            </w:r>
          </w:p>
        </w:tc>
        <w:tc>
          <w:tcPr>
            <w:tcW w:w="441" w:type="pct"/>
          </w:tcPr>
          <w:p w14:paraId="02E6A613" w14:textId="77777777" w:rsidR="007E5BEE" w:rsidRPr="002D4F73" w:rsidRDefault="008971D6" w:rsidP="00384DFC">
            <w:r w:rsidRPr="002D4F73">
              <w:t>0,90</w:t>
            </w:r>
          </w:p>
        </w:tc>
        <w:tc>
          <w:tcPr>
            <w:tcW w:w="422" w:type="pct"/>
          </w:tcPr>
          <w:p w14:paraId="657DEBC2" w14:textId="77777777" w:rsidR="007E5BEE" w:rsidRPr="002D4F73" w:rsidRDefault="008971D6" w:rsidP="00384DFC">
            <w:r w:rsidRPr="002D4F73">
              <w:t>0,95</w:t>
            </w:r>
          </w:p>
        </w:tc>
        <w:tc>
          <w:tcPr>
            <w:tcW w:w="432" w:type="pct"/>
          </w:tcPr>
          <w:p w14:paraId="2ACA6EE9" w14:textId="77777777" w:rsidR="007E5BEE" w:rsidRPr="002D4F73" w:rsidRDefault="008971D6" w:rsidP="00384DFC">
            <w:r w:rsidRPr="002D4F73">
              <w:t>0,93</w:t>
            </w:r>
          </w:p>
        </w:tc>
        <w:tc>
          <w:tcPr>
            <w:tcW w:w="394" w:type="pct"/>
          </w:tcPr>
          <w:p w14:paraId="330DADAC" w14:textId="77777777" w:rsidR="007E5BEE" w:rsidRPr="002D4F73" w:rsidRDefault="008971D6" w:rsidP="00384DFC">
            <w:r w:rsidRPr="002D4F73">
              <w:t>0,95</w:t>
            </w:r>
          </w:p>
        </w:tc>
        <w:tc>
          <w:tcPr>
            <w:tcW w:w="356" w:type="pct"/>
          </w:tcPr>
          <w:p w14:paraId="2ECC6ED6" w14:textId="77777777" w:rsidR="007E5BEE" w:rsidRPr="002D4F73" w:rsidRDefault="008971D6" w:rsidP="00384DFC">
            <w:r w:rsidRPr="002D4F73">
              <w:t>0,98</w:t>
            </w:r>
          </w:p>
        </w:tc>
        <w:tc>
          <w:tcPr>
            <w:tcW w:w="451" w:type="pct"/>
          </w:tcPr>
          <w:p w14:paraId="73C4C8ED" w14:textId="77777777" w:rsidR="007E5BEE" w:rsidRPr="002D4F73" w:rsidRDefault="008971D6" w:rsidP="00384DFC">
            <w:r w:rsidRPr="002D4F73">
              <w:t>0,99</w:t>
            </w:r>
          </w:p>
        </w:tc>
        <w:tc>
          <w:tcPr>
            <w:tcW w:w="412" w:type="pct"/>
          </w:tcPr>
          <w:p w14:paraId="5F5D2D59" w14:textId="77777777" w:rsidR="007E5BEE" w:rsidRPr="002D4F73" w:rsidRDefault="008971D6" w:rsidP="00384DFC">
            <w:r w:rsidRPr="002D4F73">
              <w:t>1,02</w:t>
            </w:r>
          </w:p>
        </w:tc>
        <w:tc>
          <w:tcPr>
            <w:tcW w:w="412" w:type="pct"/>
          </w:tcPr>
          <w:p w14:paraId="14A195E9" w14:textId="77777777" w:rsidR="007E5BEE" w:rsidRPr="002D4F73" w:rsidRDefault="008971D6" w:rsidP="00384DFC">
            <w:r w:rsidRPr="002D4F73">
              <w:t>1,01</w:t>
            </w:r>
          </w:p>
        </w:tc>
        <w:tc>
          <w:tcPr>
            <w:tcW w:w="451" w:type="pct"/>
          </w:tcPr>
          <w:p w14:paraId="1600D8AC" w14:textId="77777777" w:rsidR="007E5BEE" w:rsidRPr="002D4F73" w:rsidRDefault="008971D6" w:rsidP="00384DFC">
            <w:r w:rsidRPr="002D4F73">
              <w:t>0,96</w:t>
            </w:r>
          </w:p>
        </w:tc>
        <w:tc>
          <w:tcPr>
            <w:tcW w:w="432" w:type="pct"/>
          </w:tcPr>
          <w:p w14:paraId="39850DD6" w14:textId="77777777" w:rsidR="007E5BEE" w:rsidRPr="002D4F73" w:rsidRDefault="008971D6" w:rsidP="00384DFC">
            <w:r w:rsidRPr="002D4F73">
              <w:t>0,93</w:t>
            </w:r>
          </w:p>
        </w:tc>
      </w:tr>
    </w:tbl>
    <w:p w14:paraId="45ADFF9B" w14:textId="4C6FC857" w:rsidR="001A786A" w:rsidRPr="002D4F73" w:rsidRDefault="001A786A" w:rsidP="00384DFC">
      <w:bookmarkStart w:id="9" w:name="_Toc128130406"/>
    </w:p>
    <w:p w14:paraId="1374B0D6" w14:textId="63F83FA1" w:rsidR="007F33C5" w:rsidRPr="002D4F73" w:rsidRDefault="00BB57CE" w:rsidP="00384DFC">
      <w:r w:rsidRPr="002D4F73">
        <w:t>Wechsel</w:t>
      </w:r>
      <w:r w:rsidR="007F33C5" w:rsidRPr="002D4F73">
        <w:t>kurs Euro zum Yen</w:t>
      </w:r>
      <w:bookmarkEnd w:id="9"/>
    </w:p>
    <w:p w14:paraId="7EB0C7CC" w14:textId="26621108" w:rsidR="007F230A" w:rsidRPr="002D4F73" w:rsidRDefault="007F230A" w:rsidP="00384DFC">
      <w:r w:rsidRPr="002D4F73">
        <w:t>Schließlich der Umtauschkurs des Euro zum Yen im Januar 2022 bei etwa 130,10 JPY/EUR. Im Februar und März blieb der Kurs relativ stabil, bevor er im April auf 127,00 JPY/EUR fiel. Im Mai und Juni stieg der Kurs wieder an und erreichte im Juni ein Hoch von 132,50 JPY/EUR. Im Juli und August gab es erneut Schwankungen, wobei der Kurs im August auf 129,00 JPY/EUR fiel. Im September erholte sich der Kurs jedoch wieder und lag Ende des Monats bei etwa 131,00 JPY/EUR.</w:t>
      </w:r>
    </w:p>
    <w:p w14:paraId="5EEDD6F1" w14:textId="77777777" w:rsidR="000860C7" w:rsidRPr="002D4F73" w:rsidRDefault="00CB71A2" w:rsidP="00384DFC">
      <w:r w:rsidRPr="002D4F73">
        <w:rPr>
          <w:noProof/>
        </w:rPr>
        <w:lastRenderedPageBreak/>
        <w:drawing>
          <wp:inline distT="0" distB="0" distL="0" distR="0" wp14:anchorId="38A917CB" wp14:editId="4A02AAED">
            <wp:extent cx="5039995" cy="3258185"/>
            <wp:effectExtent l="0" t="0" r="8255" b="18415"/>
            <wp:docPr id="1" name="Diagramm 1">
              <a:extLst xmlns:a="http://schemas.openxmlformats.org/drawingml/2006/main">
                <a:ext uri="{FF2B5EF4-FFF2-40B4-BE49-F238E27FC236}">
                  <a16:creationId xmlns:a16="http://schemas.microsoft.com/office/drawing/2014/main" id="{E9ABAA2D-40D8-4D3E-92EC-B88026BE65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5BC2E0" w14:textId="3A0699CD" w:rsidR="007E5BEE" w:rsidRPr="002D4F73" w:rsidRDefault="007E5BEE" w:rsidP="00384DFC"/>
    <w:tbl>
      <w:tblPr>
        <w:tblStyle w:val="Tabellenraster"/>
        <w:tblW w:w="5000" w:type="pct"/>
        <w:tblLook w:val="04A0" w:firstRow="1" w:lastRow="0" w:firstColumn="1" w:lastColumn="0" w:noHBand="0" w:noVBand="1"/>
      </w:tblPr>
      <w:tblGrid>
        <w:gridCol w:w="752"/>
        <w:gridCol w:w="751"/>
        <w:gridCol w:w="751"/>
        <w:gridCol w:w="751"/>
        <w:gridCol w:w="751"/>
        <w:gridCol w:w="751"/>
        <w:gridCol w:w="800"/>
        <w:gridCol w:w="751"/>
        <w:gridCol w:w="751"/>
        <w:gridCol w:w="751"/>
        <w:gridCol w:w="751"/>
        <w:gridCol w:w="751"/>
      </w:tblGrid>
      <w:tr w:rsidR="00080B24" w:rsidRPr="002D4F73" w14:paraId="26DDEE58" w14:textId="77777777" w:rsidTr="008971D6">
        <w:tc>
          <w:tcPr>
            <w:tcW w:w="384" w:type="pct"/>
          </w:tcPr>
          <w:p w14:paraId="0C4FF7BA" w14:textId="77777777" w:rsidR="007E5BEE" w:rsidRPr="002D4F73" w:rsidRDefault="007E5BEE" w:rsidP="00384DFC">
            <w:r w:rsidRPr="002D4F73">
              <w:t>Jan</w:t>
            </w:r>
          </w:p>
        </w:tc>
        <w:tc>
          <w:tcPr>
            <w:tcW w:w="412" w:type="pct"/>
          </w:tcPr>
          <w:p w14:paraId="72DF40B5" w14:textId="77777777" w:rsidR="007E5BEE" w:rsidRPr="002D4F73" w:rsidRDefault="007E5BEE" w:rsidP="00384DFC">
            <w:r w:rsidRPr="002D4F73">
              <w:t>Feb</w:t>
            </w:r>
          </w:p>
        </w:tc>
        <w:tc>
          <w:tcPr>
            <w:tcW w:w="441" w:type="pct"/>
          </w:tcPr>
          <w:p w14:paraId="79C24B0C" w14:textId="77777777" w:rsidR="007E5BEE" w:rsidRPr="002D4F73" w:rsidRDefault="007E5BEE" w:rsidP="00384DFC">
            <w:r w:rsidRPr="002D4F73">
              <w:t>Mrz</w:t>
            </w:r>
          </w:p>
        </w:tc>
        <w:tc>
          <w:tcPr>
            <w:tcW w:w="422" w:type="pct"/>
          </w:tcPr>
          <w:p w14:paraId="2DC60FC2" w14:textId="77777777" w:rsidR="007E5BEE" w:rsidRPr="002D4F73" w:rsidRDefault="007E5BEE" w:rsidP="00384DFC">
            <w:r w:rsidRPr="002D4F73">
              <w:t>Apr</w:t>
            </w:r>
          </w:p>
        </w:tc>
        <w:tc>
          <w:tcPr>
            <w:tcW w:w="432" w:type="pct"/>
          </w:tcPr>
          <w:p w14:paraId="22575DD2" w14:textId="77777777" w:rsidR="007E5BEE" w:rsidRPr="002D4F73" w:rsidRDefault="007E5BEE" w:rsidP="00384DFC">
            <w:r w:rsidRPr="002D4F73">
              <w:t>Mai</w:t>
            </w:r>
          </w:p>
        </w:tc>
        <w:tc>
          <w:tcPr>
            <w:tcW w:w="394" w:type="pct"/>
          </w:tcPr>
          <w:p w14:paraId="0CB6FAB0" w14:textId="77777777" w:rsidR="007E5BEE" w:rsidRPr="002D4F73" w:rsidRDefault="007E5BEE" w:rsidP="00384DFC">
            <w:r w:rsidRPr="002D4F73">
              <w:t>Jun</w:t>
            </w:r>
          </w:p>
        </w:tc>
        <w:tc>
          <w:tcPr>
            <w:tcW w:w="356" w:type="pct"/>
          </w:tcPr>
          <w:p w14:paraId="62BBEAA8" w14:textId="77777777" w:rsidR="007E5BEE" w:rsidRPr="002D4F73" w:rsidRDefault="007E5BEE" w:rsidP="00384DFC">
            <w:r w:rsidRPr="002D4F73">
              <w:t>Jul</w:t>
            </w:r>
          </w:p>
        </w:tc>
        <w:tc>
          <w:tcPr>
            <w:tcW w:w="451" w:type="pct"/>
          </w:tcPr>
          <w:p w14:paraId="5E261C20" w14:textId="77777777" w:rsidR="007E5BEE" w:rsidRPr="002D4F73" w:rsidRDefault="007E5BEE" w:rsidP="00384DFC">
            <w:r w:rsidRPr="002D4F73">
              <w:t>Aug</w:t>
            </w:r>
          </w:p>
        </w:tc>
        <w:tc>
          <w:tcPr>
            <w:tcW w:w="412" w:type="pct"/>
          </w:tcPr>
          <w:p w14:paraId="7711E372" w14:textId="77777777" w:rsidR="007E5BEE" w:rsidRPr="002D4F73" w:rsidRDefault="007E5BEE" w:rsidP="00384DFC">
            <w:r w:rsidRPr="002D4F73">
              <w:t>Sep</w:t>
            </w:r>
          </w:p>
        </w:tc>
        <w:tc>
          <w:tcPr>
            <w:tcW w:w="412" w:type="pct"/>
          </w:tcPr>
          <w:p w14:paraId="044F74DE" w14:textId="77777777" w:rsidR="007E5BEE" w:rsidRPr="002D4F73" w:rsidRDefault="007E5BEE" w:rsidP="00384DFC">
            <w:r w:rsidRPr="002D4F73">
              <w:t>Okt</w:t>
            </w:r>
          </w:p>
        </w:tc>
        <w:tc>
          <w:tcPr>
            <w:tcW w:w="451" w:type="pct"/>
          </w:tcPr>
          <w:p w14:paraId="77432437" w14:textId="77777777" w:rsidR="007E5BEE" w:rsidRPr="002D4F73" w:rsidRDefault="007E5BEE" w:rsidP="00384DFC">
            <w:r w:rsidRPr="002D4F73">
              <w:t>Nov</w:t>
            </w:r>
          </w:p>
        </w:tc>
        <w:tc>
          <w:tcPr>
            <w:tcW w:w="432" w:type="pct"/>
          </w:tcPr>
          <w:p w14:paraId="65D13B54" w14:textId="77777777" w:rsidR="007E5BEE" w:rsidRPr="002D4F73" w:rsidRDefault="007E5BEE" w:rsidP="00384DFC">
            <w:r w:rsidRPr="002D4F73">
              <w:t>Dez</w:t>
            </w:r>
          </w:p>
        </w:tc>
      </w:tr>
      <w:tr w:rsidR="00080B24" w:rsidRPr="002D4F73" w14:paraId="4B407091" w14:textId="77777777" w:rsidTr="008971D6">
        <w:tc>
          <w:tcPr>
            <w:tcW w:w="384" w:type="pct"/>
          </w:tcPr>
          <w:p w14:paraId="2B0D5DDE" w14:textId="77777777" w:rsidR="007E5BEE" w:rsidRPr="002D4F73" w:rsidRDefault="008971D6" w:rsidP="00384DFC">
            <w:r w:rsidRPr="002D4F73">
              <w:t>130,01</w:t>
            </w:r>
          </w:p>
        </w:tc>
        <w:tc>
          <w:tcPr>
            <w:tcW w:w="412" w:type="pct"/>
          </w:tcPr>
          <w:p w14:paraId="3AD6D475" w14:textId="77777777" w:rsidR="007E5BEE" w:rsidRPr="002D4F73" w:rsidRDefault="008971D6" w:rsidP="00384DFC">
            <w:r w:rsidRPr="002D4F73">
              <w:t>130,66</w:t>
            </w:r>
          </w:p>
        </w:tc>
        <w:tc>
          <w:tcPr>
            <w:tcW w:w="441" w:type="pct"/>
          </w:tcPr>
          <w:p w14:paraId="5EA158EE" w14:textId="77777777" w:rsidR="007E5BEE" w:rsidRPr="002D4F73" w:rsidRDefault="008971D6" w:rsidP="00384DFC">
            <w:r w:rsidRPr="002D4F73">
              <w:t>130,71</w:t>
            </w:r>
          </w:p>
        </w:tc>
        <w:tc>
          <w:tcPr>
            <w:tcW w:w="422" w:type="pct"/>
          </w:tcPr>
          <w:p w14:paraId="6EDD86CA" w14:textId="77777777" w:rsidR="007E5BEE" w:rsidRPr="002D4F73" w:rsidRDefault="008971D6" w:rsidP="00384DFC">
            <w:r w:rsidRPr="002D4F73">
              <w:t>136,61</w:t>
            </w:r>
          </w:p>
        </w:tc>
        <w:tc>
          <w:tcPr>
            <w:tcW w:w="432" w:type="pct"/>
          </w:tcPr>
          <w:p w14:paraId="4388D58A" w14:textId="77777777" w:rsidR="007E5BEE" w:rsidRPr="002D4F73" w:rsidRDefault="008971D6" w:rsidP="00384DFC">
            <w:r w:rsidRPr="002D4F73">
              <w:t>136,24</w:t>
            </w:r>
          </w:p>
        </w:tc>
        <w:tc>
          <w:tcPr>
            <w:tcW w:w="394" w:type="pct"/>
          </w:tcPr>
          <w:p w14:paraId="7374E72C" w14:textId="77777777" w:rsidR="007E5BEE" w:rsidRPr="002D4F73" w:rsidRDefault="008971D6" w:rsidP="00384DFC">
            <w:r w:rsidRPr="002D4F73">
              <w:t>141,57</w:t>
            </w:r>
          </w:p>
        </w:tc>
        <w:tc>
          <w:tcPr>
            <w:tcW w:w="356" w:type="pct"/>
          </w:tcPr>
          <w:p w14:paraId="66D56D3B" w14:textId="77777777" w:rsidR="007E5BEE" w:rsidRPr="002D4F73" w:rsidRDefault="008971D6" w:rsidP="00384DFC">
            <w:r w:rsidRPr="002D4F73">
              <w:t>1,39,17</w:t>
            </w:r>
          </w:p>
        </w:tc>
        <w:tc>
          <w:tcPr>
            <w:tcW w:w="451" w:type="pct"/>
          </w:tcPr>
          <w:p w14:paraId="24CC6027" w14:textId="77777777" w:rsidR="007E5BEE" w:rsidRPr="002D4F73" w:rsidRDefault="008971D6" w:rsidP="00384DFC">
            <w:r w:rsidRPr="002D4F73">
              <w:t>186</w:t>
            </w:r>
            <w:r w:rsidR="00080B24" w:rsidRPr="002D4F73">
              <w:t>,85</w:t>
            </w:r>
          </w:p>
        </w:tc>
        <w:tc>
          <w:tcPr>
            <w:tcW w:w="412" w:type="pct"/>
          </w:tcPr>
          <w:p w14:paraId="4F918B56" w14:textId="77777777" w:rsidR="007E5BEE" w:rsidRPr="002D4F73" w:rsidRDefault="00080B24" w:rsidP="00384DFC">
            <w:r w:rsidRPr="002D4F73">
              <w:t>141,57</w:t>
            </w:r>
          </w:p>
        </w:tc>
        <w:tc>
          <w:tcPr>
            <w:tcW w:w="412" w:type="pct"/>
          </w:tcPr>
          <w:p w14:paraId="1D9B53E9" w14:textId="77777777" w:rsidR="007E5BEE" w:rsidRPr="002D4F73" w:rsidRDefault="00080B24" w:rsidP="00384DFC">
            <w:r w:rsidRPr="002D4F73">
              <w:t>144,73</w:t>
            </w:r>
          </w:p>
        </w:tc>
        <w:tc>
          <w:tcPr>
            <w:tcW w:w="451" w:type="pct"/>
          </w:tcPr>
          <w:p w14:paraId="6AEEDA2C" w14:textId="77777777" w:rsidR="007E5BEE" w:rsidRPr="002D4F73" w:rsidRDefault="00080B24" w:rsidP="00384DFC">
            <w:r w:rsidRPr="002D4F73">
              <w:t>145,12</w:t>
            </w:r>
          </w:p>
        </w:tc>
        <w:tc>
          <w:tcPr>
            <w:tcW w:w="432" w:type="pct"/>
          </w:tcPr>
          <w:p w14:paraId="6834C397" w14:textId="77777777" w:rsidR="007E5BEE" w:rsidRPr="002D4F73" w:rsidRDefault="00080B24" w:rsidP="00384DFC">
            <w:r w:rsidRPr="002D4F73">
              <w:t>142,82</w:t>
            </w:r>
          </w:p>
        </w:tc>
      </w:tr>
    </w:tbl>
    <w:p w14:paraId="404204BE" w14:textId="77658B84" w:rsidR="001A786A" w:rsidRPr="002D4F73" w:rsidRDefault="001A786A" w:rsidP="00384DFC">
      <w:bookmarkStart w:id="10" w:name="_Toc128130407"/>
    </w:p>
    <w:p w14:paraId="4EC58696" w14:textId="3F33C60F" w:rsidR="007F33C5" w:rsidRPr="002D4F73" w:rsidRDefault="00042BEC" w:rsidP="00384DFC">
      <w:r w:rsidRPr="002D4F73">
        <w:t>Zu</w:t>
      </w:r>
      <w:r w:rsidR="007F33C5" w:rsidRPr="002D4F73">
        <w:t>sammenfassung</w:t>
      </w:r>
      <w:bookmarkEnd w:id="10"/>
    </w:p>
    <w:p w14:paraId="2E7292CA" w14:textId="1C1D9F28" w:rsidR="00B973FB" w:rsidRDefault="007F230A" w:rsidP="00384DFC">
      <w:r w:rsidRPr="002D4F73">
        <w:t>Insgesamt lässt sich sagen, dass der Umtauschkurs des Euro zu den Währungen Schweizer Franken, US-Dollar und Yen im Jahr 2022 einige Schwankungen erfahren hat. Es ist wichtig zu beachten, dass Wechselkurse von vielen Faktoren beeinflusst werden und dass es schwierig ist, vorherzusagen, wie sich diese Faktoren im Laufe der Zeit entwickeln werden. Aus diesem Grund sollten Reisende und Unternehmen, die internationale Geschäfte tätigen, immer die aktuellen Wechselkurse im Auge behalten, um fundierte Entscheidungen zu treffen.</w:t>
      </w:r>
    </w:p>
    <w:p w14:paraId="09C2BBAA" w14:textId="29D0DEB7" w:rsidR="001A786A" w:rsidRDefault="00042BEC" w:rsidP="00384DFC">
      <w:r w:rsidRPr="002D4F73">
        <w:t>Literatur</w:t>
      </w:r>
    </w:p>
    <w:p w14:paraId="2F6EC9F8" w14:textId="4E88E27A" w:rsidR="00080B24" w:rsidRPr="002D4F73" w:rsidRDefault="00042BEC" w:rsidP="00384DFC">
      <w:r w:rsidRPr="002D4F73">
        <w:t>Erklärung</w:t>
      </w:r>
    </w:p>
    <w:p w14:paraId="63ED1B82" w14:textId="1F1CC5A1" w:rsidR="00080B24" w:rsidRPr="002D4F73" w:rsidRDefault="00080B24" w:rsidP="002D4F73">
      <w:r w:rsidRPr="002D4F73">
        <w:t xml:space="preserve">Hiermit </w:t>
      </w:r>
      <w:r w:rsidR="00261E69" w:rsidRPr="002D4F73">
        <w:t>wir</w:t>
      </w:r>
      <w:r w:rsidRPr="002D4F73">
        <w:t xml:space="preserve"> offen zu, dass</w:t>
      </w:r>
      <w:r w:rsidR="00167E60" w:rsidRPr="002D4F73">
        <w:t xml:space="preserve"> der vorliegende</w:t>
      </w:r>
      <w:r w:rsidRPr="002D4F73">
        <w:t xml:space="preserve"> Text </w:t>
      </w:r>
      <w:r w:rsidR="00261E69" w:rsidRPr="002D4F73">
        <w:t xml:space="preserve">mit Hilfe </w:t>
      </w:r>
      <w:r w:rsidR="005234AC" w:rsidRPr="002D4F73">
        <w:t xml:space="preserve">der Künstlichen Intelligenz </w:t>
      </w:r>
      <w:r w:rsidRPr="002D4F73">
        <w:t xml:space="preserve">Chat GPT geschrieben und </w:t>
      </w:r>
      <w:r w:rsidR="00261E69" w:rsidRPr="002D4F73">
        <w:t>durch</w:t>
      </w:r>
      <w:r w:rsidRPr="002D4F73">
        <w:t xml:space="preserve"> Abbildungen aus </w:t>
      </w:r>
      <w:r w:rsidR="00261E69" w:rsidRPr="002D4F73">
        <w:t xml:space="preserve">der Internetquelle </w:t>
      </w:r>
      <w:r w:rsidRPr="002D4F73">
        <w:t xml:space="preserve">finanzen.net illustriert wurde. </w:t>
      </w:r>
      <w:r w:rsidR="00167E60" w:rsidRPr="002D4F73">
        <w:t>D</w:t>
      </w:r>
      <w:r w:rsidRPr="002D4F73">
        <w:t xml:space="preserve">ie </w:t>
      </w:r>
      <w:r w:rsidR="00167E60" w:rsidRPr="002D4F73">
        <w:t xml:space="preserve">zitierten </w:t>
      </w:r>
      <w:r w:rsidRPr="002D4F73">
        <w:t xml:space="preserve">Quellen </w:t>
      </w:r>
      <w:r w:rsidR="00167E60" w:rsidRPr="002D4F73">
        <w:t xml:space="preserve">haben rein </w:t>
      </w:r>
      <w:r w:rsidRPr="002D4F73">
        <w:t xml:space="preserve">gar nichts mit dem Text zu tun. Dieses Vorgehen </w:t>
      </w:r>
      <w:r w:rsidR="00167E60" w:rsidRPr="002D4F73">
        <w:t>würde in einer realen Prüfungssituation</w:t>
      </w:r>
      <w:r w:rsidRPr="002D4F73">
        <w:t xml:space="preserve"> als grober Verstoß gegen die gute Wissenschaftliche Praxis gewertet. </w:t>
      </w:r>
      <w:r w:rsidR="00167E60" w:rsidRPr="002D4F73">
        <w:t xml:space="preserve">Eine nicht bestandene Prüfung </w:t>
      </w:r>
      <w:r w:rsidR="00261E69" w:rsidRPr="002D4F73">
        <w:t>oder</w:t>
      </w:r>
      <w:r w:rsidR="00167E60" w:rsidRPr="002D4F73">
        <w:t xml:space="preserve"> ein nicht bestandenes Studium </w:t>
      </w:r>
      <w:r w:rsidR="00261E69" w:rsidRPr="002D4F73">
        <w:t>wären die ernsten Folgen eines solchen Vorgehens.</w:t>
      </w:r>
      <w:r w:rsidR="00884355">
        <w:t xml:space="preserve"> </w:t>
      </w:r>
      <w:r w:rsidR="00167E60" w:rsidRPr="002D4F73">
        <w:t>Die Arbeit dient</w:t>
      </w:r>
      <w:r w:rsidR="00261E69" w:rsidRPr="002D4F73">
        <w:t>e</w:t>
      </w:r>
      <w:r w:rsidR="00167E60" w:rsidRPr="002D4F73">
        <w:t xml:space="preserve"> lediglich der Illustration der formalen Gestaltung von wissenschaftlichen Arbeiten mit Hilfe von Microsoft Word.</w:t>
      </w:r>
    </w:p>
    <w:p w14:paraId="1A453EF8" w14:textId="77777777" w:rsidR="00080B24" w:rsidRPr="002D4F73" w:rsidRDefault="00080B24" w:rsidP="002D4F73"/>
    <w:p w14:paraId="642BE9F8" w14:textId="170FBAB8" w:rsidR="00080B24" w:rsidRPr="00384DFC" w:rsidRDefault="00080B24" w:rsidP="00384DFC">
      <w:pPr>
        <w:rPr>
          <w:b/>
          <w:bCs/>
        </w:rPr>
      </w:pPr>
      <w:r w:rsidRPr="002D4F73">
        <w:t xml:space="preserve">Köln, </w:t>
      </w:r>
      <w:r w:rsidR="00167E60" w:rsidRPr="002D4F73">
        <w:fldChar w:fldCharType="begin"/>
      </w:r>
      <w:r w:rsidR="00167E60" w:rsidRPr="002D4F73">
        <w:instrText xml:space="preserve"> TIME \@ "dd.MM.yyyy" </w:instrText>
      </w:r>
      <w:r w:rsidR="00167E60" w:rsidRPr="002D4F73">
        <w:fldChar w:fldCharType="separate"/>
      </w:r>
      <w:r w:rsidR="003C6FF1" w:rsidRPr="002D4F73">
        <w:t>05.12.2024</w:t>
      </w:r>
      <w:r w:rsidR="00167E60" w:rsidRPr="002D4F73">
        <w:fldChar w:fldCharType="end"/>
      </w:r>
    </w:p>
    <w:sectPr w:rsidR="00080B24" w:rsidRPr="00384DFC" w:rsidSect="00884355">
      <w:headerReference w:type="first" r:id="rId12"/>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4307" w14:textId="77777777" w:rsidR="005B58F8" w:rsidRDefault="005B58F8" w:rsidP="00C64CF6">
      <w:pPr>
        <w:spacing w:after="0"/>
      </w:pPr>
      <w:r>
        <w:separator/>
      </w:r>
    </w:p>
  </w:endnote>
  <w:endnote w:type="continuationSeparator" w:id="0">
    <w:p w14:paraId="5DBFE33B" w14:textId="77777777" w:rsidR="005B58F8" w:rsidRDefault="005B58F8" w:rsidP="00C64C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4ACE" w14:textId="77777777" w:rsidR="005B58F8" w:rsidRDefault="005B58F8" w:rsidP="00C64CF6">
      <w:pPr>
        <w:spacing w:after="0"/>
      </w:pPr>
      <w:r>
        <w:separator/>
      </w:r>
    </w:p>
  </w:footnote>
  <w:footnote w:type="continuationSeparator" w:id="0">
    <w:p w14:paraId="5F470CE1" w14:textId="77777777" w:rsidR="005B58F8" w:rsidRDefault="005B58F8" w:rsidP="00C64C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009030"/>
      <w:docPartObj>
        <w:docPartGallery w:val="Page Numbers (Top of Page)"/>
        <w:docPartUnique/>
      </w:docPartObj>
    </w:sdtPr>
    <w:sdtContent>
      <w:p w14:paraId="0E130970" w14:textId="272715AA" w:rsidR="00D84D06" w:rsidRDefault="00000000">
        <w:pPr>
          <w:pStyle w:val="Kopfzeile"/>
          <w:jc w:val="center"/>
        </w:pPr>
      </w:p>
    </w:sdtContent>
  </w:sdt>
  <w:p w14:paraId="0B5DC3A4" w14:textId="77777777" w:rsidR="00D84D06" w:rsidRPr="001A786A" w:rsidRDefault="00D84D06">
    <w:pPr>
      <w:pStyle w:val="Kopfzeile"/>
      <w:rPr>
        <w:rFonts w:asciiTheme="majorHAnsi" w:hAnsiTheme="majorHAnsi" w:cs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2758F"/>
    <w:multiLevelType w:val="hybridMultilevel"/>
    <w:tmpl w:val="5D5E60E0"/>
    <w:lvl w:ilvl="0" w:tplc="8384F670">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EDE6F1F"/>
    <w:multiLevelType w:val="multilevel"/>
    <w:tmpl w:val="04070025"/>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735587521">
    <w:abstractNumId w:val="1"/>
  </w:num>
  <w:num w:numId="2" w16cid:durableId="1922791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2E"/>
    <w:rsid w:val="000320F2"/>
    <w:rsid w:val="00042BEC"/>
    <w:rsid w:val="00080B24"/>
    <w:rsid w:val="000860C7"/>
    <w:rsid w:val="000E0700"/>
    <w:rsid w:val="000E60A9"/>
    <w:rsid w:val="0011516F"/>
    <w:rsid w:val="00167E60"/>
    <w:rsid w:val="00171940"/>
    <w:rsid w:val="001A786A"/>
    <w:rsid w:val="00211AC2"/>
    <w:rsid w:val="00261E69"/>
    <w:rsid w:val="002A1CDC"/>
    <w:rsid w:val="002D4F73"/>
    <w:rsid w:val="002D64E4"/>
    <w:rsid w:val="00343392"/>
    <w:rsid w:val="00354A3E"/>
    <w:rsid w:val="00384DFC"/>
    <w:rsid w:val="003C6FF1"/>
    <w:rsid w:val="003F6189"/>
    <w:rsid w:val="0045092E"/>
    <w:rsid w:val="00460E19"/>
    <w:rsid w:val="00476DF7"/>
    <w:rsid w:val="004D1652"/>
    <w:rsid w:val="005234AC"/>
    <w:rsid w:val="00527DE5"/>
    <w:rsid w:val="005B58F8"/>
    <w:rsid w:val="006A5CB4"/>
    <w:rsid w:val="00727443"/>
    <w:rsid w:val="007D04CA"/>
    <w:rsid w:val="007D1B30"/>
    <w:rsid w:val="007E5BEE"/>
    <w:rsid w:val="007F230A"/>
    <w:rsid w:val="007F33C5"/>
    <w:rsid w:val="00837EC8"/>
    <w:rsid w:val="00872326"/>
    <w:rsid w:val="008779B4"/>
    <w:rsid w:val="00884355"/>
    <w:rsid w:val="0089163C"/>
    <w:rsid w:val="008971D6"/>
    <w:rsid w:val="00927BC2"/>
    <w:rsid w:val="0097412E"/>
    <w:rsid w:val="009E7C50"/>
    <w:rsid w:val="00A31063"/>
    <w:rsid w:val="00A8662D"/>
    <w:rsid w:val="00AA0766"/>
    <w:rsid w:val="00AD4EFB"/>
    <w:rsid w:val="00B1419E"/>
    <w:rsid w:val="00B973FB"/>
    <w:rsid w:val="00BB57CE"/>
    <w:rsid w:val="00C2500C"/>
    <w:rsid w:val="00C40C6D"/>
    <w:rsid w:val="00C64CF6"/>
    <w:rsid w:val="00CB71A2"/>
    <w:rsid w:val="00CF2F9F"/>
    <w:rsid w:val="00D84D06"/>
    <w:rsid w:val="00DC1B7E"/>
    <w:rsid w:val="00E83064"/>
    <w:rsid w:val="00F174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125E"/>
  <w15:chartTrackingRefBased/>
  <w15:docId w15:val="{061A4380-6A0D-44E1-BFD7-FB6A1C17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4355"/>
    <w:pPr>
      <w:spacing w:after="40" w:line="240" w:lineRule="auto"/>
    </w:pPr>
    <w:rPr>
      <w:rFonts w:ascii="Times New Roman" w:hAnsi="Times New Roman"/>
      <w:color w:val="000000" w:themeColor="text1"/>
    </w:rPr>
  </w:style>
  <w:style w:type="paragraph" w:styleId="berschrift1">
    <w:name w:val="heading 1"/>
    <w:basedOn w:val="Standard"/>
    <w:next w:val="Standard"/>
    <w:link w:val="berschrift1Zchn"/>
    <w:uiPriority w:val="9"/>
    <w:qFormat/>
    <w:rsid w:val="00384DFC"/>
    <w:pPr>
      <w:keepNext/>
      <w:keepLines/>
      <w:numPr>
        <w:numId w:val="2"/>
      </w:numPr>
      <w:spacing w:after="120"/>
      <w:outlineLvl w:val="0"/>
    </w:pPr>
    <w:rPr>
      <w:rFonts w:ascii="Arial" w:eastAsiaTheme="majorEastAsia" w:hAnsi="Arial"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84DFC"/>
    <w:pPr>
      <w:keepNext/>
      <w:keepLines/>
      <w:numPr>
        <w:ilvl w:val="1"/>
        <w:numId w:val="1"/>
      </w:numPr>
      <w:spacing w:before="360" w:after="0"/>
      <w:ind w:left="851" w:hanging="851"/>
      <w:outlineLvl w:val="1"/>
    </w:pPr>
    <w:rPr>
      <w:rFonts w:ascii="Arial" w:eastAsiaTheme="majorEastAsia" w:hAnsi="Arial" w:cstheme="majorBidi"/>
      <w:color w:val="2F5496" w:themeColor="accent1" w:themeShade="BF"/>
      <w:sz w:val="28"/>
      <w:szCs w:val="26"/>
    </w:rPr>
  </w:style>
  <w:style w:type="paragraph" w:styleId="berschrift3">
    <w:name w:val="heading 3"/>
    <w:basedOn w:val="Standard"/>
    <w:next w:val="Standard"/>
    <w:link w:val="berschrift3Zchn"/>
    <w:uiPriority w:val="9"/>
    <w:semiHidden/>
    <w:unhideWhenUsed/>
    <w:qFormat/>
    <w:rsid w:val="00A8662D"/>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berschrift4">
    <w:name w:val="heading 4"/>
    <w:basedOn w:val="Standard"/>
    <w:next w:val="Standard"/>
    <w:link w:val="berschrift4Zchn"/>
    <w:uiPriority w:val="9"/>
    <w:semiHidden/>
    <w:unhideWhenUsed/>
    <w:qFormat/>
    <w:rsid w:val="00A8662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8662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8662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8662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8662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8662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7412E"/>
    <w:pPr>
      <w:spacing w:before="100" w:beforeAutospacing="1" w:after="100" w:afterAutospacing="1"/>
    </w:pPr>
    <w:rPr>
      <w:rFonts w:eastAsia="Times New Roman" w:cs="Times New Roman"/>
      <w:szCs w:val="24"/>
      <w:lang w:eastAsia="de-DE"/>
    </w:rPr>
  </w:style>
  <w:style w:type="table" w:styleId="Tabellenraster">
    <w:name w:val="Table Grid"/>
    <w:basedOn w:val="NormaleTabelle"/>
    <w:uiPriority w:val="39"/>
    <w:rsid w:val="007E5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234AC"/>
    <w:rPr>
      <w:color w:val="808080"/>
    </w:rPr>
  </w:style>
  <w:style w:type="character" w:styleId="Hyperlink">
    <w:name w:val="Hyperlink"/>
    <w:basedOn w:val="Absatz-Standardschriftart"/>
    <w:uiPriority w:val="99"/>
    <w:unhideWhenUsed/>
    <w:rsid w:val="000E60A9"/>
    <w:rPr>
      <w:color w:val="0563C1" w:themeColor="hyperlink"/>
      <w:u w:val="single"/>
    </w:rPr>
  </w:style>
  <w:style w:type="paragraph" w:styleId="Kopfzeile">
    <w:name w:val="header"/>
    <w:basedOn w:val="Standard"/>
    <w:link w:val="KopfzeileZchn"/>
    <w:uiPriority w:val="99"/>
    <w:unhideWhenUsed/>
    <w:rsid w:val="00C64CF6"/>
    <w:pPr>
      <w:tabs>
        <w:tab w:val="center" w:pos="4536"/>
        <w:tab w:val="right" w:pos="9072"/>
      </w:tabs>
      <w:spacing w:after="0"/>
    </w:pPr>
  </w:style>
  <w:style w:type="character" w:customStyle="1" w:styleId="KopfzeileZchn">
    <w:name w:val="Kopfzeile Zchn"/>
    <w:basedOn w:val="Absatz-Standardschriftart"/>
    <w:link w:val="Kopfzeile"/>
    <w:uiPriority w:val="99"/>
    <w:rsid w:val="00C64CF6"/>
  </w:style>
  <w:style w:type="paragraph" w:styleId="Fuzeile">
    <w:name w:val="footer"/>
    <w:basedOn w:val="Standard"/>
    <w:link w:val="FuzeileZchn"/>
    <w:uiPriority w:val="99"/>
    <w:unhideWhenUsed/>
    <w:rsid w:val="00C64CF6"/>
    <w:pPr>
      <w:tabs>
        <w:tab w:val="center" w:pos="4536"/>
        <w:tab w:val="right" w:pos="9072"/>
      </w:tabs>
      <w:spacing w:after="0"/>
    </w:pPr>
  </w:style>
  <w:style w:type="character" w:customStyle="1" w:styleId="FuzeileZchn">
    <w:name w:val="Fußzeile Zchn"/>
    <w:basedOn w:val="Absatz-Standardschriftart"/>
    <w:link w:val="Fuzeile"/>
    <w:uiPriority w:val="99"/>
    <w:rsid w:val="00C64CF6"/>
  </w:style>
  <w:style w:type="character" w:customStyle="1" w:styleId="berschrift1Zchn">
    <w:name w:val="Überschrift 1 Zchn"/>
    <w:basedOn w:val="Absatz-Standardschriftart"/>
    <w:link w:val="berschrift1"/>
    <w:uiPriority w:val="9"/>
    <w:rsid w:val="00384DFC"/>
    <w:rPr>
      <w:rFonts w:ascii="Arial" w:eastAsiaTheme="majorEastAsia" w:hAnsi="Arial"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384DFC"/>
    <w:rPr>
      <w:rFonts w:ascii="Arial" w:eastAsiaTheme="majorEastAsia" w:hAnsi="Arial" w:cstheme="majorBidi"/>
      <w:color w:val="2F5496" w:themeColor="accent1" w:themeShade="BF"/>
      <w:sz w:val="28"/>
      <w:szCs w:val="26"/>
    </w:rPr>
  </w:style>
  <w:style w:type="paragraph" w:customStyle="1" w:styleId="berschriftVerzeichnisse">
    <w:name w:val="Überschrift_Verzeichnisse"/>
    <w:basedOn w:val="Standard"/>
    <w:qFormat/>
    <w:rsid w:val="002A1CDC"/>
    <w:pPr>
      <w:spacing w:before="240" w:after="240"/>
      <w:outlineLvl w:val="0"/>
    </w:pPr>
    <w:rPr>
      <w:rFonts w:cstheme="majorHAnsi"/>
      <w:sz w:val="32"/>
    </w:rPr>
  </w:style>
  <w:style w:type="paragraph" w:customStyle="1" w:styleId="LangeZitate">
    <w:name w:val="Lange Zitate"/>
    <w:basedOn w:val="Standard"/>
    <w:qFormat/>
    <w:rsid w:val="00A8662D"/>
    <w:pPr>
      <w:ind w:left="708"/>
    </w:pPr>
    <w:rPr>
      <w:rFonts w:cstheme="majorHAnsi"/>
      <w:sz w:val="20"/>
    </w:rPr>
  </w:style>
  <w:style w:type="character" w:customStyle="1" w:styleId="berschrift3Zchn">
    <w:name w:val="Überschrift 3 Zchn"/>
    <w:basedOn w:val="Absatz-Standardschriftart"/>
    <w:link w:val="berschrift3"/>
    <w:uiPriority w:val="9"/>
    <w:semiHidden/>
    <w:rsid w:val="00A8662D"/>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A8662D"/>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8662D"/>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8662D"/>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8662D"/>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8662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8662D"/>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A8662D"/>
    <w:pPr>
      <w:numPr>
        <w:numId w:val="0"/>
      </w:numPr>
      <w:spacing w:after="0" w:line="259" w:lineRule="auto"/>
      <w:outlineLvl w:val="9"/>
    </w:pPr>
    <w:rPr>
      <w:rFonts w:asciiTheme="majorHAnsi" w:hAnsiTheme="majorHAnsi"/>
      <w:lang w:eastAsia="de-DE"/>
    </w:rPr>
  </w:style>
  <w:style w:type="paragraph" w:styleId="Verzeichnis1">
    <w:name w:val="toc 1"/>
    <w:basedOn w:val="Standard"/>
    <w:next w:val="Standard"/>
    <w:autoRedefine/>
    <w:uiPriority w:val="39"/>
    <w:unhideWhenUsed/>
    <w:rsid w:val="00A8662D"/>
    <w:pPr>
      <w:spacing w:after="100"/>
    </w:pPr>
  </w:style>
  <w:style w:type="paragraph" w:styleId="Verzeichnis2">
    <w:name w:val="toc 2"/>
    <w:basedOn w:val="Standard"/>
    <w:next w:val="Standard"/>
    <w:autoRedefine/>
    <w:uiPriority w:val="39"/>
    <w:unhideWhenUsed/>
    <w:rsid w:val="00A8662D"/>
    <w:pPr>
      <w:spacing w:after="100"/>
      <w:ind w:left="220"/>
    </w:pPr>
  </w:style>
  <w:style w:type="paragraph" w:styleId="Beschriftung">
    <w:name w:val="caption"/>
    <w:basedOn w:val="Standard"/>
    <w:next w:val="Standard"/>
    <w:uiPriority w:val="35"/>
    <w:unhideWhenUsed/>
    <w:qFormat/>
    <w:rsid w:val="007D1B30"/>
    <w:pPr>
      <w:spacing w:after="200"/>
    </w:pPr>
    <w:rPr>
      <w:i/>
      <w:iCs/>
      <w:color w:val="44546A" w:themeColor="text2"/>
      <w:sz w:val="18"/>
      <w:szCs w:val="18"/>
    </w:rPr>
  </w:style>
  <w:style w:type="paragraph" w:styleId="Abbildungsverzeichnis">
    <w:name w:val="table of figures"/>
    <w:basedOn w:val="Standard"/>
    <w:next w:val="Standard"/>
    <w:uiPriority w:val="99"/>
    <w:unhideWhenUsed/>
    <w:rsid w:val="000860C7"/>
    <w:pPr>
      <w:spacing w:after="0"/>
    </w:pPr>
  </w:style>
  <w:style w:type="paragraph" w:styleId="Index2">
    <w:name w:val="index 2"/>
    <w:basedOn w:val="Standard"/>
    <w:next w:val="Standard"/>
    <w:autoRedefine/>
    <w:uiPriority w:val="99"/>
    <w:semiHidden/>
    <w:unhideWhenUsed/>
    <w:rsid w:val="008779B4"/>
    <w:pPr>
      <w:spacing w:after="0"/>
      <w:ind w:left="440" w:hanging="220"/>
    </w:pPr>
  </w:style>
  <w:style w:type="paragraph" w:styleId="Index1">
    <w:name w:val="index 1"/>
    <w:basedOn w:val="Standard"/>
    <w:next w:val="Standard"/>
    <w:autoRedefine/>
    <w:uiPriority w:val="99"/>
    <w:semiHidden/>
    <w:unhideWhenUsed/>
    <w:rsid w:val="008779B4"/>
    <w:pPr>
      <w:spacing w:after="0"/>
    </w:pPr>
  </w:style>
  <w:style w:type="paragraph" w:styleId="Funotentext">
    <w:name w:val="footnote text"/>
    <w:basedOn w:val="Standard"/>
    <w:link w:val="FunotentextZchn"/>
    <w:uiPriority w:val="99"/>
    <w:semiHidden/>
    <w:unhideWhenUsed/>
    <w:rsid w:val="0089163C"/>
    <w:pPr>
      <w:spacing w:after="0"/>
    </w:pPr>
    <w:rPr>
      <w:sz w:val="20"/>
      <w:szCs w:val="20"/>
    </w:rPr>
  </w:style>
  <w:style w:type="character" w:customStyle="1" w:styleId="FunotentextZchn">
    <w:name w:val="Fußnotentext Zchn"/>
    <w:basedOn w:val="Absatz-Standardschriftart"/>
    <w:link w:val="Funotentext"/>
    <w:uiPriority w:val="99"/>
    <w:semiHidden/>
    <w:rsid w:val="0089163C"/>
    <w:rPr>
      <w:rFonts w:ascii="Arial" w:hAnsi="Arial"/>
      <w:color w:val="000000" w:themeColor="text1"/>
      <w:sz w:val="20"/>
      <w:szCs w:val="20"/>
    </w:rPr>
  </w:style>
  <w:style w:type="character" w:styleId="Funotenzeichen">
    <w:name w:val="footnote reference"/>
    <w:basedOn w:val="Absatz-Standardschriftart"/>
    <w:uiPriority w:val="99"/>
    <w:semiHidden/>
    <w:unhideWhenUsed/>
    <w:rsid w:val="0089163C"/>
    <w:rPr>
      <w:vertAlign w:val="superscript"/>
    </w:rPr>
  </w:style>
  <w:style w:type="paragraph" w:styleId="Literaturverzeichnis">
    <w:name w:val="Bibliography"/>
    <w:basedOn w:val="Standard"/>
    <w:next w:val="Standard"/>
    <w:uiPriority w:val="37"/>
    <w:unhideWhenUsed/>
    <w:rsid w:val="0089163C"/>
  </w:style>
  <w:style w:type="paragraph" w:styleId="Zitat">
    <w:name w:val="Quote"/>
    <w:basedOn w:val="Standard"/>
    <w:next w:val="Standard"/>
    <w:link w:val="ZitatZchn"/>
    <w:uiPriority w:val="29"/>
    <w:qFormat/>
    <w:rsid w:val="00727443"/>
    <w:pPr>
      <w:spacing w:before="200" w:after="160"/>
      <w:ind w:left="864" w:right="864"/>
    </w:pPr>
    <w:rPr>
      <w:i/>
      <w:iCs/>
      <w:color w:val="404040" w:themeColor="text1" w:themeTint="BF"/>
      <w:sz w:val="20"/>
    </w:rPr>
  </w:style>
  <w:style w:type="character" w:customStyle="1" w:styleId="ZitatZchn">
    <w:name w:val="Zitat Zchn"/>
    <w:basedOn w:val="Absatz-Standardschriftart"/>
    <w:link w:val="Zitat"/>
    <w:uiPriority w:val="29"/>
    <w:rsid w:val="00727443"/>
    <w:rPr>
      <w:rFonts w:ascii="Times New Roman" w:hAnsi="Times New Roman"/>
      <w:i/>
      <w:iCs/>
      <w:color w:val="404040" w:themeColor="text1" w:themeTint="BF"/>
      <w:sz w:val="20"/>
    </w:rPr>
  </w:style>
  <w:style w:type="paragraph" w:customStyle="1" w:styleId="berschriftohneNummerierung">
    <w:name w:val="Überschrift ohne Nummerierung"/>
    <w:basedOn w:val="berschrift1"/>
    <w:next w:val="Standard"/>
    <w:rsid w:val="00B973FB"/>
    <w:pPr>
      <w:numPr>
        <w:numId w:val="0"/>
      </w:numPr>
      <w:ind w:left="851" w:hanging="851"/>
    </w:pPr>
  </w:style>
  <w:style w:type="character" w:styleId="Fett">
    <w:name w:val="Strong"/>
    <w:basedOn w:val="Absatz-Standardschriftart"/>
    <w:uiPriority w:val="22"/>
    <w:qFormat/>
    <w:rsid w:val="00384D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7970">
      <w:bodyDiv w:val="1"/>
      <w:marLeft w:val="0"/>
      <w:marRight w:val="0"/>
      <w:marTop w:val="0"/>
      <w:marBottom w:val="0"/>
      <w:divBdr>
        <w:top w:val="none" w:sz="0" w:space="0" w:color="auto"/>
        <w:left w:val="none" w:sz="0" w:space="0" w:color="auto"/>
        <w:bottom w:val="none" w:sz="0" w:space="0" w:color="auto"/>
        <w:right w:val="none" w:sz="0" w:space="0" w:color="auto"/>
      </w:divBdr>
      <w:divsChild>
        <w:div w:id="1332030117">
          <w:marLeft w:val="0"/>
          <w:marRight w:val="0"/>
          <w:marTop w:val="0"/>
          <w:marBottom w:val="0"/>
          <w:divBdr>
            <w:top w:val="none" w:sz="0" w:space="0" w:color="auto"/>
            <w:left w:val="none" w:sz="0" w:space="0" w:color="auto"/>
            <w:bottom w:val="none" w:sz="0" w:space="0" w:color="auto"/>
            <w:right w:val="none" w:sz="0" w:space="0" w:color="auto"/>
          </w:divBdr>
          <w:divsChild>
            <w:div w:id="1005061125">
              <w:marLeft w:val="0"/>
              <w:marRight w:val="0"/>
              <w:marTop w:val="0"/>
              <w:marBottom w:val="0"/>
              <w:divBdr>
                <w:top w:val="none" w:sz="0" w:space="0" w:color="auto"/>
                <w:left w:val="none" w:sz="0" w:space="0" w:color="auto"/>
                <w:bottom w:val="none" w:sz="0" w:space="0" w:color="auto"/>
                <w:right w:val="none" w:sz="0" w:space="0" w:color="auto"/>
              </w:divBdr>
              <w:divsChild>
                <w:div w:id="16073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250">
      <w:bodyDiv w:val="1"/>
      <w:marLeft w:val="0"/>
      <w:marRight w:val="0"/>
      <w:marTop w:val="0"/>
      <w:marBottom w:val="0"/>
      <w:divBdr>
        <w:top w:val="none" w:sz="0" w:space="0" w:color="auto"/>
        <w:left w:val="none" w:sz="0" w:space="0" w:color="auto"/>
        <w:bottom w:val="none" w:sz="0" w:space="0" w:color="auto"/>
        <w:right w:val="none" w:sz="0" w:space="0" w:color="auto"/>
      </w:divBdr>
    </w:div>
    <w:div w:id="614169245">
      <w:bodyDiv w:val="1"/>
      <w:marLeft w:val="0"/>
      <w:marRight w:val="0"/>
      <w:marTop w:val="0"/>
      <w:marBottom w:val="0"/>
      <w:divBdr>
        <w:top w:val="none" w:sz="0" w:space="0" w:color="auto"/>
        <w:left w:val="none" w:sz="0" w:space="0" w:color="auto"/>
        <w:bottom w:val="none" w:sz="0" w:space="0" w:color="auto"/>
        <w:right w:val="none" w:sz="0" w:space="0" w:color="auto"/>
      </w:divBdr>
    </w:div>
    <w:div w:id="1148549716">
      <w:bodyDiv w:val="1"/>
      <w:marLeft w:val="0"/>
      <w:marRight w:val="0"/>
      <w:marTop w:val="0"/>
      <w:marBottom w:val="0"/>
      <w:divBdr>
        <w:top w:val="none" w:sz="0" w:space="0" w:color="auto"/>
        <w:left w:val="none" w:sz="0" w:space="0" w:color="auto"/>
        <w:bottom w:val="none" w:sz="0" w:space="0" w:color="auto"/>
        <w:right w:val="none" w:sz="0" w:space="0" w:color="auto"/>
      </w:divBdr>
    </w:div>
    <w:div w:id="1275794083">
      <w:bodyDiv w:val="1"/>
      <w:marLeft w:val="0"/>
      <w:marRight w:val="0"/>
      <w:marTop w:val="0"/>
      <w:marBottom w:val="0"/>
      <w:divBdr>
        <w:top w:val="none" w:sz="0" w:space="0" w:color="auto"/>
        <w:left w:val="none" w:sz="0" w:space="0" w:color="auto"/>
        <w:bottom w:val="none" w:sz="0" w:space="0" w:color="auto"/>
        <w:right w:val="none" w:sz="0" w:space="0" w:color="auto"/>
      </w:divBdr>
      <w:divsChild>
        <w:div w:id="1850371021">
          <w:marLeft w:val="0"/>
          <w:marRight w:val="0"/>
          <w:marTop w:val="0"/>
          <w:marBottom w:val="0"/>
          <w:divBdr>
            <w:top w:val="none" w:sz="0" w:space="0" w:color="auto"/>
            <w:left w:val="none" w:sz="0" w:space="0" w:color="auto"/>
            <w:bottom w:val="none" w:sz="0" w:space="0" w:color="auto"/>
            <w:right w:val="none" w:sz="0" w:space="0" w:color="auto"/>
          </w:divBdr>
          <w:divsChild>
            <w:div w:id="244851187">
              <w:marLeft w:val="0"/>
              <w:marRight w:val="0"/>
              <w:marTop w:val="0"/>
              <w:marBottom w:val="0"/>
              <w:divBdr>
                <w:top w:val="none" w:sz="0" w:space="0" w:color="auto"/>
                <w:left w:val="none" w:sz="0" w:space="0" w:color="auto"/>
                <w:bottom w:val="none" w:sz="0" w:space="0" w:color="auto"/>
                <w:right w:val="none" w:sz="0" w:space="0" w:color="auto"/>
              </w:divBdr>
              <w:divsChild>
                <w:div w:id="716397651">
                  <w:marLeft w:val="0"/>
                  <w:marRight w:val="0"/>
                  <w:marTop w:val="0"/>
                  <w:marBottom w:val="0"/>
                  <w:divBdr>
                    <w:top w:val="none" w:sz="0" w:space="0" w:color="auto"/>
                    <w:left w:val="none" w:sz="0" w:space="0" w:color="auto"/>
                    <w:bottom w:val="none" w:sz="0" w:space="0" w:color="auto"/>
                    <w:right w:val="none" w:sz="0" w:space="0" w:color="auto"/>
                  </w:divBdr>
                  <w:divsChild>
                    <w:div w:id="15236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a.muster@smail.uni-koel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cheitza\Desktop\Beispieltexte\statistic_id242057_wechselkurs---euro-gegenueber-schweizer-franken-2023--monatsdurchschnittswert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b="1"/>
              <a:t>Monatliche Entwicklung des Wechselkurses des Euro gegenüber dem Schweizer Franken </a:t>
            </a:r>
          </a:p>
          <a:p>
            <a:pPr>
              <a:defRPr/>
            </a:pPr>
            <a:r>
              <a:rPr lang="de-DE" b="1"/>
              <a:t>im Zeitraum von Januar 2022 bis Dezember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Daten!$B$42:$B$53</c:f>
              <c:strCache>
                <c:ptCount val="12"/>
                <c:pt idx="0">
                  <c:v>Jan 2022</c:v>
                </c:pt>
                <c:pt idx="1">
                  <c:v>Feb 2022</c:v>
                </c:pt>
                <c:pt idx="2">
                  <c:v>Mrz 2022</c:v>
                </c:pt>
                <c:pt idx="3">
                  <c:v>Apr 2022</c:v>
                </c:pt>
                <c:pt idx="4">
                  <c:v>Mai 2022</c:v>
                </c:pt>
                <c:pt idx="5">
                  <c:v>Jun 2022</c:v>
                </c:pt>
                <c:pt idx="6">
                  <c:v>Jul 2022</c:v>
                </c:pt>
                <c:pt idx="7">
                  <c:v>Aug 2022</c:v>
                </c:pt>
                <c:pt idx="8">
                  <c:v>Sep 2022</c:v>
                </c:pt>
                <c:pt idx="9">
                  <c:v>Okt 2022</c:v>
                </c:pt>
                <c:pt idx="10">
                  <c:v>Nov 2022</c:v>
                </c:pt>
                <c:pt idx="11">
                  <c:v>Dez 2022</c:v>
                </c:pt>
              </c:strCache>
            </c:strRef>
          </c:cat>
          <c:val>
            <c:numRef>
              <c:f>Daten!$C$42:$C$53</c:f>
              <c:numCache>
                <c:formatCode>#,##0.00</c:formatCode>
                <c:ptCount val="12"/>
                <c:pt idx="0">
                  <c:v>1.04</c:v>
                </c:pt>
                <c:pt idx="1">
                  <c:v>1.05</c:v>
                </c:pt>
                <c:pt idx="2">
                  <c:v>1.02</c:v>
                </c:pt>
                <c:pt idx="3">
                  <c:v>1.02</c:v>
                </c:pt>
                <c:pt idx="4">
                  <c:v>1.04</c:v>
                </c:pt>
                <c:pt idx="5">
                  <c:v>1.02</c:v>
                </c:pt>
                <c:pt idx="6">
                  <c:v>0.99</c:v>
                </c:pt>
                <c:pt idx="7">
                  <c:v>0.97</c:v>
                </c:pt>
                <c:pt idx="8">
                  <c:v>0.96</c:v>
                </c:pt>
                <c:pt idx="9">
                  <c:v>0.98</c:v>
                </c:pt>
                <c:pt idx="10">
                  <c:v>0.98</c:v>
                </c:pt>
                <c:pt idx="11">
                  <c:v>0.99</c:v>
                </c:pt>
              </c:numCache>
            </c:numRef>
          </c:val>
          <c:smooth val="0"/>
          <c:extLst>
            <c:ext xmlns:c16="http://schemas.microsoft.com/office/drawing/2014/chart" uri="{C3380CC4-5D6E-409C-BE32-E72D297353CC}">
              <c16:uniqueId val="{00000000-0ADC-482D-BCAE-6D6C0F730D08}"/>
            </c:ext>
          </c:extLst>
        </c:ser>
        <c:dLbls>
          <c:dLblPos val="t"/>
          <c:showLegendKey val="0"/>
          <c:showVal val="1"/>
          <c:showCatName val="0"/>
          <c:showSerName val="0"/>
          <c:showPercent val="0"/>
          <c:showBubbleSize val="0"/>
        </c:dLbls>
        <c:smooth val="0"/>
        <c:axId val="124475776"/>
        <c:axId val="125646240"/>
      </c:lineChart>
      <c:catAx>
        <c:axId val="124475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2022</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25646240"/>
        <c:crosses val="autoZero"/>
        <c:auto val="1"/>
        <c:lblAlgn val="ctr"/>
        <c:lblOffset val="100"/>
        <c:noMultiLvlLbl val="0"/>
      </c:catAx>
      <c:valAx>
        <c:axId val="125646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baseline="0"/>
                  <a:t>Euro /  CHF</a:t>
                </a:r>
                <a:endParaRPr lang="de-DE"/>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24475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de-DE" b="1"/>
              <a:t>Monatliche Entwicklung des Wechselkurses des Euro gegenüber</a:t>
            </a:r>
            <a:r>
              <a:rPr lang="de-DE" b="1" baseline="0"/>
              <a:t> dem US-Dollar</a:t>
            </a:r>
            <a:endParaRPr lang="de-DE" b="1"/>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de-DE" b="1"/>
              <a:t>im Zeitraum von Januar 2022 bis Dezember 2022</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de-DE"/>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de-DE"/>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Daten!$B$42:$B$53</c:f>
              <c:strCache>
                <c:ptCount val="12"/>
                <c:pt idx="0">
                  <c:v>Jan 22</c:v>
                </c:pt>
                <c:pt idx="1">
                  <c:v>Feb 22</c:v>
                </c:pt>
                <c:pt idx="2">
                  <c:v>Mrz 22</c:v>
                </c:pt>
                <c:pt idx="3">
                  <c:v>Apr 22</c:v>
                </c:pt>
                <c:pt idx="4">
                  <c:v>Mai 22</c:v>
                </c:pt>
                <c:pt idx="5">
                  <c:v>Jun 22</c:v>
                </c:pt>
                <c:pt idx="6">
                  <c:v>Jul 22</c:v>
                </c:pt>
                <c:pt idx="7">
                  <c:v>Aug 22</c:v>
                </c:pt>
                <c:pt idx="8">
                  <c:v>Sep 22</c:v>
                </c:pt>
                <c:pt idx="9">
                  <c:v>Okt 22</c:v>
                </c:pt>
                <c:pt idx="10">
                  <c:v>Nov 22</c:v>
                </c:pt>
                <c:pt idx="11">
                  <c:v>Dez 22</c:v>
                </c:pt>
              </c:strCache>
            </c:strRef>
          </c:cat>
          <c:val>
            <c:numRef>
              <c:f>Daten!$C$42:$C$53</c:f>
              <c:numCache>
                <c:formatCode>#,##0.00</c:formatCode>
                <c:ptCount val="12"/>
                <c:pt idx="0">
                  <c:v>0.89</c:v>
                </c:pt>
                <c:pt idx="1">
                  <c:v>0.89</c:v>
                </c:pt>
                <c:pt idx="2">
                  <c:v>0.9</c:v>
                </c:pt>
                <c:pt idx="3">
                  <c:v>0.95</c:v>
                </c:pt>
                <c:pt idx="4">
                  <c:v>0.93</c:v>
                </c:pt>
                <c:pt idx="5">
                  <c:v>0.95</c:v>
                </c:pt>
                <c:pt idx="6">
                  <c:v>0.98</c:v>
                </c:pt>
                <c:pt idx="7">
                  <c:v>0.99</c:v>
                </c:pt>
                <c:pt idx="8">
                  <c:v>1.02</c:v>
                </c:pt>
                <c:pt idx="9">
                  <c:v>1.01</c:v>
                </c:pt>
                <c:pt idx="10">
                  <c:v>0.96</c:v>
                </c:pt>
                <c:pt idx="11">
                  <c:v>0.93</c:v>
                </c:pt>
              </c:numCache>
            </c:numRef>
          </c:val>
          <c:smooth val="0"/>
          <c:extLst>
            <c:ext xmlns:c16="http://schemas.microsoft.com/office/drawing/2014/chart" uri="{C3380CC4-5D6E-409C-BE32-E72D297353CC}">
              <c16:uniqueId val="{00000000-107C-4BB5-9135-B7BEA8DDA1BD}"/>
            </c:ext>
          </c:extLst>
        </c:ser>
        <c:dLbls>
          <c:dLblPos val="t"/>
          <c:showLegendKey val="0"/>
          <c:showVal val="1"/>
          <c:showCatName val="0"/>
          <c:showSerName val="0"/>
          <c:showPercent val="0"/>
          <c:showBubbleSize val="0"/>
        </c:dLbls>
        <c:smooth val="0"/>
        <c:axId val="1347087696"/>
        <c:axId val="1351549840"/>
      </c:lineChart>
      <c:catAx>
        <c:axId val="13470876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2022</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351549840"/>
        <c:crosses val="autoZero"/>
        <c:auto val="1"/>
        <c:lblAlgn val="ctr"/>
        <c:lblOffset val="100"/>
        <c:noMultiLvlLbl val="0"/>
      </c:catAx>
      <c:valAx>
        <c:axId val="1351549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Euro / US-Dollar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347087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de-DE" b="1"/>
              <a:t>Monatliche Entwicklung des Wechselkurses des Euro gegenüber dem japanischen Yen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de-DE" b="1"/>
              <a:t>von Januar 2022 bis Dezember</a:t>
            </a:r>
            <a:r>
              <a:rPr lang="de-DE" b="1" baseline="0"/>
              <a:t> 2022</a:t>
            </a:r>
            <a:r>
              <a:rPr lang="de-DE" b="1"/>
              <a:t>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de-DE"/>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de-DE"/>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Daten!$B$42:$B$53</c:f>
              <c:strCache>
                <c:ptCount val="12"/>
                <c:pt idx="0">
                  <c:v>Jan 2022</c:v>
                </c:pt>
                <c:pt idx="1">
                  <c:v>Feb 2022</c:v>
                </c:pt>
                <c:pt idx="2">
                  <c:v>Mrz 2022</c:v>
                </c:pt>
                <c:pt idx="3">
                  <c:v>Apr 2022</c:v>
                </c:pt>
                <c:pt idx="4">
                  <c:v>Mai 2022</c:v>
                </c:pt>
                <c:pt idx="5">
                  <c:v>Jun 2022</c:v>
                </c:pt>
                <c:pt idx="6">
                  <c:v>Jul 2022</c:v>
                </c:pt>
                <c:pt idx="7">
                  <c:v>Aug 2022</c:v>
                </c:pt>
                <c:pt idx="8">
                  <c:v>Sep 2022</c:v>
                </c:pt>
                <c:pt idx="9">
                  <c:v>Okt 2022</c:v>
                </c:pt>
                <c:pt idx="10">
                  <c:v>Nov 2022</c:v>
                </c:pt>
                <c:pt idx="11">
                  <c:v>Dez 2022</c:v>
                </c:pt>
              </c:strCache>
            </c:strRef>
          </c:cat>
          <c:val>
            <c:numRef>
              <c:f>Daten!$C$42:$C$53</c:f>
              <c:numCache>
                <c:formatCode>#,##0.00</c:formatCode>
                <c:ptCount val="12"/>
                <c:pt idx="0">
                  <c:v>130.01</c:v>
                </c:pt>
                <c:pt idx="1">
                  <c:v>130.66</c:v>
                </c:pt>
                <c:pt idx="2">
                  <c:v>130.71</c:v>
                </c:pt>
                <c:pt idx="3">
                  <c:v>136.61000000000001</c:v>
                </c:pt>
                <c:pt idx="4">
                  <c:v>136.24</c:v>
                </c:pt>
                <c:pt idx="5">
                  <c:v>141.57</c:v>
                </c:pt>
                <c:pt idx="6">
                  <c:v>139.16999999999999</c:v>
                </c:pt>
                <c:pt idx="7">
                  <c:v>136.85</c:v>
                </c:pt>
                <c:pt idx="8">
                  <c:v>141.57</c:v>
                </c:pt>
                <c:pt idx="9">
                  <c:v>144.72999999999999</c:v>
                </c:pt>
                <c:pt idx="10">
                  <c:v>145.12</c:v>
                </c:pt>
                <c:pt idx="11">
                  <c:v>142.82</c:v>
                </c:pt>
              </c:numCache>
            </c:numRef>
          </c:val>
          <c:smooth val="0"/>
          <c:extLst>
            <c:ext xmlns:c16="http://schemas.microsoft.com/office/drawing/2014/chart" uri="{C3380CC4-5D6E-409C-BE32-E72D297353CC}">
              <c16:uniqueId val="{00000000-B758-46CC-B134-670FB18B426F}"/>
            </c:ext>
          </c:extLst>
        </c:ser>
        <c:dLbls>
          <c:dLblPos val="t"/>
          <c:showLegendKey val="0"/>
          <c:showVal val="1"/>
          <c:showCatName val="0"/>
          <c:showSerName val="0"/>
          <c:showPercent val="0"/>
          <c:showBubbleSize val="0"/>
        </c:dLbls>
        <c:smooth val="0"/>
        <c:axId val="2056977967"/>
        <c:axId val="2058871295"/>
      </c:lineChart>
      <c:catAx>
        <c:axId val="205697796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2022</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058871295"/>
        <c:crosses val="autoZero"/>
        <c:auto val="1"/>
        <c:lblAlgn val="ctr"/>
        <c:lblOffset val="100"/>
        <c:noMultiLvlLbl val="0"/>
      </c:catAx>
      <c:valAx>
        <c:axId val="20588712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Euro /</a:t>
                </a:r>
                <a:r>
                  <a:rPr lang="de-DE" baseline="0"/>
                  <a:t> YEN</a:t>
                </a:r>
                <a:endParaRPr lang="de-DE"/>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0569779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C01C91A-257A-434D-9789-B7E8F42E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589</Words>
  <Characters>3713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Scheitza</dc:creator>
  <cp:keywords/>
  <dc:description/>
  <cp:lastModifiedBy>Gilbert Scheitza</cp:lastModifiedBy>
  <cp:revision>12</cp:revision>
  <cp:lastPrinted>2023-02-24T11:06:00Z</cp:lastPrinted>
  <dcterms:created xsi:type="dcterms:W3CDTF">2023-09-07T18:40:00Z</dcterms:created>
  <dcterms:modified xsi:type="dcterms:W3CDTF">2024-12-05T21:05:00Z</dcterms:modified>
</cp:coreProperties>
</file>